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861" w:type="pct"/>
        <w:tblLook w:val="04A0" w:firstRow="1" w:lastRow="0" w:firstColumn="1" w:lastColumn="0" w:noHBand="0" w:noVBand="1"/>
      </w:tblPr>
      <w:tblGrid>
        <w:gridCol w:w="2695"/>
        <w:gridCol w:w="3819"/>
        <w:gridCol w:w="2856"/>
      </w:tblGrid>
      <w:tr w:rsidR="00B7441D" w14:paraId="564FC95B" w14:textId="77777777" w:rsidTr="00B7441D">
        <w:tc>
          <w:tcPr>
            <w:tcW w:w="1438" w:type="pct"/>
          </w:tcPr>
          <w:p w14:paraId="5E2EA757" w14:textId="77777777" w:rsidR="00E466F1" w:rsidRDefault="00E466F1" w:rsidP="000C0F2E">
            <w:pPr>
              <w:pStyle w:val="Header"/>
              <w:tabs>
                <w:tab w:val="clear" w:pos="9360"/>
                <w:tab w:val="left" w:pos="5785"/>
              </w:tabs>
              <w:spacing w:line="276" w:lineRule="auto"/>
            </w:pPr>
            <w:r w:rsidRPr="00247733">
              <w:rPr>
                <w:noProof/>
                <w:lang w:val="id-ID" w:eastAsia="id-ID"/>
              </w:rPr>
              <w:drawing>
                <wp:inline distT="0" distB="0" distL="0" distR="0" wp14:anchorId="4A7DB75E" wp14:editId="66F61756">
                  <wp:extent cx="1397152" cy="759460"/>
                  <wp:effectExtent l="0" t="0" r="0" b="0"/>
                  <wp:docPr id="4" name="Picture 4" descr="C:\Users\indra\Pictures\talenta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dra\Pictures\talentaP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7495" cy="770518"/>
                          </a:xfrm>
                          <a:prstGeom prst="rect">
                            <a:avLst/>
                          </a:prstGeom>
                          <a:noFill/>
                          <a:ln>
                            <a:noFill/>
                          </a:ln>
                        </pic:spPr>
                      </pic:pic>
                    </a:graphicData>
                  </a:graphic>
                </wp:inline>
              </w:drawing>
            </w:r>
          </w:p>
        </w:tc>
        <w:tc>
          <w:tcPr>
            <w:tcW w:w="2038" w:type="pct"/>
            <w:shd w:val="clear" w:color="auto" w:fill="DEEAF6" w:themeFill="accent5" w:themeFillTint="33"/>
            <w:vAlign w:val="center"/>
          </w:tcPr>
          <w:p w14:paraId="35814BF4" w14:textId="77777777" w:rsidR="009B05FE" w:rsidRPr="00B7441D" w:rsidRDefault="009B05FE" w:rsidP="000C0F2E">
            <w:pPr>
              <w:pStyle w:val="Header"/>
              <w:tabs>
                <w:tab w:val="clear" w:pos="9360"/>
                <w:tab w:val="left" w:pos="5785"/>
              </w:tabs>
              <w:spacing w:line="276" w:lineRule="auto"/>
              <w:ind w:left="320" w:hanging="320"/>
              <w:rPr>
                <w:b/>
                <w:bCs/>
                <w:sz w:val="44"/>
                <w:szCs w:val="44"/>
              </w:rPr>
            </w:pPr>
            <w:r w:rsidRPr="00B7441D">
              <w:rPr>
                <w:b/>
                <w:bCs/>
                <w:sz w:val="44"/>
                <w:szCs w:val="44"/>
              </w:rPr>
              <w:t>AANHS Journal</w:t>
            </w:r>
          </w:p>
          <w:p w14:paraId="4B1A5AF2" w14:textId="3C4BA56F" w:rsidR="00E466F1" w:rsidRPr="004E31C7" w:rsidRDefault="009B05FE" w:rsidP="000C0F2E">
            <w:pPr>
              <w:pStyle w:val="Header"/>
              <w:tabs>
                <w:tab w:val="clear" w:pos="9360"/>
                <w:tab w:val="left" w:pos="5785"/>
              </w:tabs>
              <w:spacing w:line="276" w:lineRule="auto"/>
              <w:rPr>
                <w:sz w:val="26"/>
                <w:szCs w:val="26"/>
              </w:rPr>
            </w:pPr>
            <w:r w:rsidRPr="007E3CDD">
              <w:rPr>
                <w:rFonts w:asciiTheme="majorBidi" w:hAnsiTheme="majorBidi" w:cstheme="majorBidi"/>
                <w:color w:val="000000" w:themeColor="text1"/>
                <w:sz w:val="18"/>
                <w:szCs w:val="18"/>
              </w:rPr>
              <w:t xml:space="preserve">Journal homepage: </w:t>
            </w:r>
            <w:r w:rsidRPr="005147C9">
              <w:rPr>
                <w:rFonts w:ascii="Times New Roman" w:hAnsi="Times New Roman" w:cs="Times New Roman"/>
                <w:sz w:val="18"/>
                <w:szCs w:val="18"/>
              </w:rPr>
              <w:t>http://aanhsj.usu.ac.id</w:t>
            </w:r>
          </w:p>
        </w:tc>
        <w:tc>
          <w:tcPr>
            <w:tcW w:w="1524" w:type="pct"/>
          </w:tcPr>
          <w:p w14:paraId="4D1FC184" w14:textId="36D4A2DD" w:rsidR="00E466F1" w:rsidRDefault="009B05FE" w:rsidP="000C0F2E">
            <w:pPr>
              <w:pStyle w:val="Header"/>
              <w:tabs>
                <w:tab w:val="clear" w:pos="9360"/>
                <w:tab w:val="left" w:pos="5785"/>
              </w:tabs>
              <w:spacing w:line="276" w:lineRule="auto"/>
            </w:pPr>
            <w:r>
              <w:rPr>
                <w:noProof/>
                <w:spacing w:val="-31"/>
                <w:position w:val="20"/>
                <w:sz w:val="20"/>
                <w:lang w:val="id-ID" w:eastAsia="id-ID"/>
              </w:rPr>
              <w:drawing>
                <wp:anchor distT="0" distB="0" distL="114300" distR="114300" simplePos="0" relativeHeight="251659264" behindDoc="0" locked="0" layoutInCell="1" allowOverlap="1" wp14:anchorId="1678C47D" wp14:editId="34A14AE7">
                  <wp:simplePos x="0" y="0"/>
                  <wp:positionH relativeFrom="column">
                    <wp:posOffset>69125</wp:posOffset>
                  </wp:positionH>
                  <wp:positionV relativeFrom="paragraph">
                    <wp:posOffset>190894</wp:posOffset>
                  </wp:positionV>
                  <wp:extent cx="1674253" cy="561975"/>
                  <wp:effectExtent l="0" t="0" r="254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84" cy="562724"/>
                          </a:xfrm>
                          <a:prstGeom prst="rect">
                            <a:avLst/>
                          </a:prstGeom>
                        </pic:spPr>
                      </pic:pic>
                    </a:graphicData>
                  </a:graphic>
                  <wp14:sizeRelH relativeFrom="margin">
                    <wp14:pctWidth>0</wp14:pctWidth>
                  </wp14:sizeRelH>
                </wp:anchor>
              </w:drawing>
            </w:r>
          </w:p>
        </w:tc>
      </w:tr>
    </w:tbl>
    <w:p w14:paraId="253600DE" w14:textId="77777777" w:rsidR="00CE3FA2" w:rsidRPr="005D0A93" w:rsidRDefault="00CE3FA2" w:rsidP="00CE3FA2">
      <w:pPr>
        <w:spacing w:before="240" w:after="240" w:line="276" w:lineRule="auto"/>
        <w:rPr>
          <w:b/>
          <w:bCs/>
          <w:color w:val="000000"/>
          <w:sz w:val="36"/>
          <w:szCs w:val="36"/>
        </w:rPr>
      </w:pPr>
      <w:r w:rsidRPr="00735117">
        <w:rPr>
          <w:b/>
          <w:bCs/>
          <w:color w:val="000000"/>
          <w:sz w:val="36"/>
          <w:szCs w:val="36"/>
        </w:rPr>
        <w:t>Management of the Cerebellar Hematoma after Posterior Cranial Fossa Trauma: A Case Report and Literature Review</w:t>
      </w:r>
    </w:p>
    <w:p w14:paraId="23CC01B8" w14:textId="37AC0C55" w:rsidR="00CE3FA2" w:rsidRPr="00080262" w:rsidRDefault="00CE3FA2" w:rsidP="00CE3FA2">
      <w:pPr>
        <w:spacing w:before="6"/>
        <w:ind w:right="140"/>
        <w:rPr>
          <w:sz w:val="28"/>
          <w:szCs w:val="28"/>
          <w:vertAlign w:val="superscript"/>
        </w:rPr>
      </w:pPr>
      <w:r>
        <w:rPr>
          <w:sz w:val="28"/>
          <w:szCs w:val="28"/>
        </w:rPr>
        <w:t>Daniel Encarnacion-Santos,</w:t>
      </w:r>
      <w:r w:rsidRPr="0031367A">
        <w:rPr>
          <w:sz w:val="28"/>
          <w:szCs w:val="28"/>
          <w:vertAlign w:val="superscript"/>
        </w:rPr>
        <w:t>1</w:t>
      </w:r>
      <w:r>
        <w:rPr>
          <w:sz w:val="28"/>
          <w:szCs w:val="28"/>
          <w:vertAlign w:val="superscript"/>
        </w:rPr>
        <w:t>,2</w:t>
      </w:r>
      <w:r w:rsidR="00AE0852" w:rsidRPr="0031367A">
        <w:rPr>
          <w:sz w:val="20"/>
          <w:szCs w:val="20"/>
        </w:rPr>
        <w:t>*</w:t>
      </w:r>
      <w:r>
        <w:rPr>
          <w:sz w:val="28"/>
          <w:szCs w:val="28"/>
        </w:rPr>
        <w:t xml:space="preserve"> Gennady </w:t>
      </w:r>
      <w:proofErr w:type="spellStart"/>
      <w:r>
        <w:rPr>
          <w:sz w:val="28"/>
          <w:szCs w:val="28"/>
        </w:rPr>
        <w:t>Chmutin</w:t>
      </w:r>
      <w:proofErr w:type="spellEnd"/>
      <w:r>
        <w:rPr>
          <w:sz w:val="28"/>
          <w:szCs w:val="28"/>
        </w:rPr>
        <w:t>,</w:t>
      </w:r>
      <w:r w:rsidRPr="00CE3FA2">
        <w:rPr>
          <w:sz w:val="28"/>
          <w:szCs w:val="28"/>
          <w:vertAlign w:val="superscript"/>
        </w:rPr>
        <w:t xml:space="preserve"> </w:t>
      </w:r>
      <w:r w:rsidRPr="0031367A">
        <w:rPr>
          <w:sz w:val="28"/>
          <w:szCs w:val="28"/>
          <w:vertAlign w:val="superscript"/>
        </w:rPr>
        <w:t>1</w:t>
      </w:r>
      <w:r>
        <w:rPr>
          <w:sz w:val="28"/>
          <w:szCs w:val="28"/>
          <w:vertAlign w:val="superscript"/>
        </w:rPr>
        <w:t xml:space="preserve">,2 </w:t>
      </w:r>
      <w:proofErr w:type="spellStart"/>
      <w:r>
        <w:rPr>
          <w:sz w:val="28"/>
          <w:szCs w:val="28"/>
        </w:rPr>
        <w:t>Egor</w:t>
      </w:r>
      <w:proofErr w:type="spellEnd"/>
      <w:r>
        <w:rPr>
          <w:sz w:val="28"/>
          <w:szCs w:val="28"/>
        </w:rPr>
        <w:t xml:space="preserve"> Chmutin,</w:t>
      </w:r>
      <w:r>
        <w:rPr>
          <w:sz w:val="28"/>
          <w:szCs w:val="28"/>
          <w:vertAlign w:val="superscript"/>
        </w:rPr>
        <w:t xml:space="preserve">1 </w:t>
      </w:r>
      <w:proofErr w:type="spellStart"/>
      <w:r w:rsidR="009F50B5">
        <w:rPr>
          <w:sz w:val="28"/>
          <w:szCs w:val="28"/>
          <w:lang w:val="en-US"/>
        </w:rPr>
        <w:t>Arstanbekov</w:t>
      </w:r>
      <w:proofErr w:type="spellEnd"/>
      <w:r w:rsidR="009F50B5">
        <w:rPr>
          <w:sz w:val="28"/>
          <w:szCs w:val="28"/>
          <w:lang w:val="en-US"/>
        </w:rPr>
        <w:t xml:space="preserve"> Beksultan</w:t>
      </w:r>
      <w:r w:rsidR="006031E0">
        <w:rPr>
          <w:sz w:val="28"/>
          <w:szCs w:val="28"/>
          <w:lang w:val="en-US"/>
        </w:rPr>
        <w:t>,</w:t>
      </w:r>
      <w:r w:rsidR="009F50B5">
        <w:rPr>
          <w:sz w:val="28"/>
          <w:szCs w:val="28"/>
          <w:vertAlign w:val="superscript"/>
          <w:lang w:val="en-US"/>
        </w:rPr>
        <w:t>1</w:t>
      </w:r>
      <w:r w:rsidR="006031E0">
        <w:rPr>
          <w:sz w:val="28"/>
          <w:szCs w:val="28"/>
          <w:vertAlign w:val="superscript"/>
          <w:lang w:val="en-US"/>
        </w:rPr>
        <w:t xml:space="preserve"> </w:t>
      </w:r>
      <w:proofErr w:type="spellStart"/>
      <w:r w:rsidR="009F50B5">
        <w:rPr>
          <w:color w:val="222222"/>
          <w:sz w:val="28"/>
          <w:szCs w:val="28"/>
          <w:highlight w:val="white"/>
        </w:rPr>
        <w:t>Symbattym</w:t>
      </w:r>
      <w:proofErr w:type="spellEnd"/>
      <w:r w:rsidR="009F50B5">
        <w:rPr>
          <w:color w:val="222222"/>
          <w:sz w:val="28"/>
          <w:szCs w:val="28"/>
          <w:highlight w:val="white"/>
        </w:rPr>
        <w:t xml:space="preserve"> Bodanova</w:t>
      </w:r>
      <w:r w:rsidR="009F50B5">
        <w:rPr>
          <w:sz w:val="28"/>
          <w:szCs w:val="28"/>
          <w:vertAlign w:val="superscript"/>
        </w:rPr>
        <w:t>1,2</w:t>
      </w:r>
      <w:r w:rsidR="009F50B5">
        <w:rPr>
          <w:sz w:val="28"/>
          <w:szCs w:val="28"/>
        </w:rPr>
        <w:t xml:space="preserve">, </w:t>
      </w:r>
      <w:proofErr w:type="spellStart"/>
      <w:r w:rsidR="009F50B5">
        <w:rPr>
          <w:sz w:val="28"/>
          <w:szCs w:val="28"/>
        </w:rPr>
        <w:t>Nazmin</w:t>
      </w:r>
      <w:proofErr w:type="spellEnd"/>
      <w:r w:rsidR="009F50B5">
        <w:rPr>
          <w:sz w:val="28"/>
          <w:szCs w:val="28"/>
        </w:rPr>
        <w:t xml:space="preserve"> Ahmed</w:t>
      </w:r>
      <w:r w:rsidR="009F50B5">
        <w:rPr>
          <w:sz w:val="28"/>
          <w:szCs w:val="28"/>
          <w:vertAlign w:val="superscript"/>
        </w:rPr>
        <w:t>3</w:t>
      </w:r>
      <w:r w:rsidR="009F50B5">
        <w:rPr>
          <w:sz w:val="28"/>
          <w:szCs w:val="28"/>
        </w:rPr>
        <w:t>, Ismail Bozkurt</w:t>
      </w:r>
      <w:r w:rsidR="009F50B5">
        <w:rPr>
          <w:sz w:val="28"/>
          <w:szCs w:val="28"/>
          <w:vertAlign w:val="superscript"/>
        </w:rPr>
        <w:t>,4</w:t>
      </w:r>
      <w:r w:rsidR="009F50B5">
        <w:rPr>
          <w:sz w:val="28"/>
          <w:szCs w:val="28"/>
        </w:rPr>
        <w:t xml:space="preserve"> </w:t>
      </w:r>
    </w:p>
    <w:p w14:paraId="0E62DA38" w14:textId="43D08726" w:rsidR="00DD154E" w:rsidRPr="00DD154E" w:rsidRDefault="00DD154E" w:rsidP="00DD154E">
      <w:pPr>
        <w:pStyle w:val="NormalWeb"/>
        <w:ind w:right="-1"/>
        <w:jc w:val="both"/>
        <w:rPr>
          <w:rFonts w:ascii="TimesNewRomanPS" w:eastAsia="Times New Roman" w:hAnsi="TimesNewRomanPS"/>
          <w:i/>
          <w:iCs/>
          <w:sz w:val="22"/>
          <w:szCs w:val="22"/>
          <w:lang w:val="en-US"/>
        </w:rPr>
      </w:pPr>
      <w:r w:rsidRPr="0031367A">
        <w:rPr>
          <w:i/>
          <w:iCs/>
          <w:sz w:val="22"/>
          <w:szCs w:val="22"/>
          <w:vertAlign w:val="superscript"/>
        </w:rPr>
        <w:t>1</w:t>
      </w:r>
      <w:r w:rsidRPr="0031367A">
        <w:rPr>
          <w:i/>
          <w:iCs/>
          <w:sz w:val="22"/>
          <w:szCs w:val="22"/>
        </w:rPr>
        <w:t xml:space="preserve"> </w:t>
      </w:r>
      <w:r w:rsidRPr="00DD154E">
        <w:rPr>
          <w:rFonts w:ascii="TimesNewRomanPS" w:eastAsia="Times New Roman" w:hAnsi="TimesNewRomanPS"/>
          <w:i/>
          <w:iCs/>
          <w:sz w:val="22"/>
          <w:szCs w:val="22"/>
          <w:lang w:val="en-US"/>
        </w:rPr>
        <w:t>Department of Neurological disease and Neurosurgery, Peoples of Friendship</w:t>
      </w:r>
      <w:r>
        <w:rPr>
          <w:rFonts w:ascii="TimesNewRomanPS" w:eastAsia="Times New Roman" w:hAnsi="TimesNewRomanPS"/>
          <w:i/>
          <w:iCs/>
          <w:sz w:val="22"/>
          <w:szCs w:val="22"/>
          <w:lang w:val="en-US"/>
        </w:rPr>
        <w:t xml:space="preserve">, </w:t>
      </w:r>
      <w:r w:rsidRPr="00DD154E">
        <w:rPr>
          <w:rFonts w:ascii="TimesNewRomanPS" w:eastAsia="Times New Roman" w:hAnsi="TimesNewRomanPS"/>
          <w:i/>
          <w:iCs/>
          <w:sz w:val="22"/>
          <w:szCs w:val="22"/>
          <w:lang w:val="en-US"/>
        </w:rPr>
        <w:t>University of Russia named after Patrice Lumumba (RUDN) , Moscow Russia</w:t>
      </w:r>
    </w:p>
    <w:p w14:paraId="015A591C" w14:textId="2A0C7D6D" w:rsidR="00DD154E" w:rsidRPr="00DD154E" w:rsidRDefault="00DD154E" w:rsidP="00DD154E">
      <w:pPr>
        <w:pStyle w:val="NormalWeb"/>
        <w:ind w:right="-1"/>
        <w:jc w:val="both"/>
        <w:rPr>
          <w:rFonts w:ascii="TimesNewRomanPS" w:eastAsia="Times New Roman" w:hAnsi="TimesNewRomanPS"/>
          <w:i/>
          <w:iCs/>
          <w:sz w:val="22"/>
          <w:szCs w:val="22"/>
          <w:lang w:val="en-US"/>
        </w:rPr>
      </w:pPr>
      <w:r>
        <w:rPr>
          <w:i/>
          <w:iCs/>
          <w:sz w:val="22"/>
          <w:szCs w:val="22"/>
          <w:vertAlign w:val="superscript"/>
        </w:rPr>
        <w:t>2</w:t>
      </w:r>
      <w:r w:rsidRPr="0031367A">
        <w:rPr>
          <w:i/>
          <w:iCs/>
          <w:sz w:val="22"/>
          <w:szCs w:val="22"/>
        </w:rPr>
        <w:t xml:space="preserve"> </w:t>
      </w:r>
      <w:r w:rsidRPr="00DD154E">
        <w:rPr>
          <w:rFonts w:ascii="TimesNewRomanPS" w:eastAsia="Times New Roman" w:hAnsi="TimesNewRomanPS"/>
          <w:i/>
          <w:iCs/>
          <w:sz w:val="22"/>
          <w:szCs w:val="22"/>
          <w:lang w:val="en-US"/>
        </w:rPr>
        <w:t xml:space="preserve">Moscow State Budgetary Healthcare Institution, </w:t>
      </w:r>
      <w:proofErr w:type="spellStart"/>
      <w:r w:rsidRPr="00DD154E">
        <w:rPr>
          <w:rFonts w:ascii="TimesNewRomanPS" w:eastAsia="Times New Roman" w:hAnsi="TimesNewRomanPS"/>
          <w:i/>
          <w:iCs/>
          <w:sz w:val="22"/>
          <w:szCs w:val="22"/>
          <w:lang w:val="en-US"/>
        </w:rPr>
        <w:t>Morozovkaya</w:t>
      </w:r>
      <w:proofErr w:type="spellEnd"/>
      <w:r w:rsidRPr="00DD154E">
        <w:rPr>
          <w:rFonts w:ascii="TimesNewRomanPS" w:eastAsia="Times New Roman" w:hAnsi="TimesNewRomanPS"/>
          <w:i/>
          <w:iCs/>
          <w:sz w:val="22"/>
          <w:szCs w:val="22"/>
          <w:lang w:val="en-US"/>
        </w:rPr>
        <w:t xml:space="preserve"> Children’s City </w:t>
      </w:r>
      <w:proofErr w:type="spellStart"/>
      <w:r w:rsidRPr="00DD154E">
        <w:rPr>
          <w:rFonts w:ascii="TimesNewRomanPS" w:eastAsia="Times New Roman" w:hAnsi="TimesNewRomanPS"/>
          <w:i/>
          <w:iCs/>
          <w:sz w:val="22"/>
          <w:szCs w:val="22"/>
          <w:lang w:val="en-US"/>
        </w:rPr>
        <w:t>Clinica</w:t>
      </w:r>
      <w:proofErr w:type="spellEnd"/>
      <w:r w:rsidRPr="00DD154E">
        <w:rPr>
          <w:rFonts w:ascii="TimesNewRomanPS" w:eastAsia="Times New Roman" w:hAnsi="TimesNewRomanPS"/>
          <w:i/>
          <w:iCs/>
          <w:sz w:val="22"/>
          <w:szCs w:val="22"/>
          <w:lang w:val="en-US"/>
        </w:rPr>
        <w:t xml:space="preserve"> Hospital of the</w:t>
      </w:r>
      <w:r>
        <w:rPr>
          <w:rFonts w:ascii="TimesNewRomanPS" w:eastAsia="Times New Roman" w:hAnsi="TimesNewRomanPS"/>
          <w:i/>
          <w:iCs/>
          <w:sz w:val="22"/>
          <w:szCs w:val="22"/>
          <w:lang w:val="en-US"/>
        </w:rPr>
        <w:t xml:space="preserve"> </w:t>
      </w:r>
      <w:r w:rsidRPr="00DD154E">
        <w:rPr>
          <w:rFonts w:ascii="TimesNewRomanPS" w:eastAsia="Times New Roman" w:hAnsi="TimesNewRomanPS"/>
          <w:i/>
          <w:iCs/>
          <w:sz w:val="22"/>
          <w:szCs w:val="22"/>
          <w:lang w:val="en-US"/>
        </w:rPr>
        <w:t>Moscow City Healthcare Department, Moscow, Russia.</w:t>
      </w:r>
    </w:p>
    <w:p w14:paraId="1C02EE75" w14:textId="72FF37AB" w:rsidR="00DD154E" w:rsidRPr="00DD154E" w:rsidRDefault="00DD154E" w:rsidP="00DD154E">
      <w:pPr>
        <w:pStyle w:val="NormalWeb"/>
        <w:ind w:right="-1"/>
        <w:jc w:val="both"/>
        <w:rPr>
          <w:rFonts w:ascii="TimesNewRomanPS" w:eastAsia="Times New Roman" w:hAnsi="TimesNewRomanPS"/>
          <w:i/>
          <w:iCs/>
          <w:sz w:val="22"/>
          <w:szCs w:val="22"/>
          <w:lang w:val="en-US"/>
        </w:rPr>
      </w:pPr>
      <w:r>
        <w:rPr>
          <w:i/>
          <w:iCs/>
          <w:sz w:val="22"/>
          <w:szCs w:val="22"/>
          <w:vertAlign w:val="superscript"/>
        </w:rPr>
        <w:t>3</w:t>
      </w:r>
      <w:r w:rsidRPr="0031367A">
        <w:rPr>
          <w:i/>
          <w:iCs/>
          <w:sz w:val="22"/>
          <w:szCs w:val="22"/>
        </w:rPr>
        <w:t xml:space="preserve"> </w:t>
      </w:r>
      <w:r w:rsidRPr="00DD154E">
        <w:rPr>
          <w:rFonts w:ascii="TimesNewRomanPS" w:eastAsia="Times New Roman" w:hAnsi="TimesNewRomanPS"/>
          <w:i/>
          <w:iCs/>
          <w:sz w:val="22"/>
          <w:szCs w:val="22"/>
          <w:lang w:val="en-US"/>
        </w:rPr>
        <w:t>Department of Neurosurgery, Ibrahim Cardiac Hospital &amp;amp; Research Institute (A Centre for</w:t>
      </w:r>
      <w:r>
        <w:rPr>
          <w:rFonts w:ascii="TimesNewRomanPS" w:eastAsia="Times New Roman" w:hAnsi="TimesNewRomanPS"/>
          <w:i/>
          <w:iCs/>
          <w:sz w:val="22"/>
          <w:szCs w:val="22"/>
          <w:lang w:val="en-US"/>
        </w:rPr>
        <w:t xml:space="preserve"> </w:t>
      </w:r>
      <w:r w:rsidRPr="00DD154E">
        <w:rPr>
          <w:rFonts w:ascii="TimesNewRomanPS" w:eastAsia="Times New Roman" w:hAnsi="TimesNewRomanPS"/>
          <w:i/>
          <w:iCs/>
          <w:sz w:val="22"/>
          <w:szCs w:val="22"/>
          <w:lang w:val="en-US"/>
        </w:rPr>
        <w:t xml:space="preserve">Cardiovascular, Neuroscience and Organ Transplant Units), </w:t>
      </w:r>
      <w:proofErr w:type="spellStart"/>
      <w:r w:rsidRPr="00DD154E">
        <w:rPr>
          <w:rFonts w:ascii="TimesNewRomanPS" w:eastAsia="Times New Roman" w:hAnsi="TimesNewRomanPS"/>
          <w:i/>
          <w:iCs/>
          <w:sz w:val="22"/>
          <w:szCs w:val="22"/>
          <w:lang w:val="en-US"/>
        </w:rPr>
        <w:t>Shahbag</w:t>
      </w:r>
      <w:proofErr w:type="spellEnd"/>
      <w:r w:rsidRPr="00DD154E">
        <w:rPr>
          <w:rFonts w:ascii="TimesNewRomanPS" w:eastAsia="Times New Roman" w:hAnsi="TimesNewRomanPS"/>
          <w:i/>
          <w:iCs/>
          <w:sz w:val="22"/>
          <w:szCs w:val="22"/>
          <w:lang w:val="en-US"/>
        </w:rPr>
        <w:t>, Dhaka,</w:t>
      </w:r>
      <w:r>
        <w:rPr>
          <w:rFonts w:ascii="TimesNewRomanPS" w:eastAsia="Times New Roman" w:hAnsi="TimesNewRomanPS"/>
          <w:i/>
          <w:iCs/>
          <w:sz w:val="22"/>
          <w:szCs w:val="22"/>
          <w:lang w:val="en-US"/>
        </w:rPr>
        <w:t xml:space="preserve"> </w:t>
      </w:r>
      <w:r w:rsidRPr="00DD154E">
        <w:rPr>
          <w:rFonts w:ascii="TimesNewRomanPS" w:eastAsia="Times New Roman" w:hAnsi="TimesNewRomanPS"/>
          <w:i/>
          <w:iCs/>
          <w:sz w:val="22"/>
          <w:szCs w:val="22"/>
          <w:lang w:val="en-US"/>
        </w:rPr>
        <w:t>Bangladesh-1000</w:t>
      </w:r>
    </w:p>
    <w:p w14:paraId="5487E666" w14:textId="09C306DE" w:rsidR="00DD154E" w:rsidRPr="00DD154E" w:rsidRDefault="00DD154E" w:rsidP="00DD154E">
      <w:pPr>
        <w:pStyle w:val="NormalWeb"/>
        <w:ind w:right="-1"/>
        <w:jc w:val="both"/>
        <w:rPr>
          <w:rFonts w:ascii="TimesNewRomanPS" w:eastAsia="Times New Roman" w:hAnsi="TimesNewRomanPS"/>
          <w:i/>
          <w:iCs/>
          <w:sz w:val="22"/>
          <w:szCs w:val="22"/>
          <w:lang w:val="en-US"/>
        </w:rPr>
      </w:pPr>
      <w:r>
        <w:rPr>
          <w:i/>
          <w:iCs/>
          <w:sz w:val="22"/>
          <w:szCs w:val="22"/>
          <w:vertAlign w:val="superscript"/>
        </w:rPr>
        <w:t>4</w:t>
      </w:r>
      <w:r w:rsidRPr="0031367A">
        <w:rPr>
          <w:i/>
          <w:iCs/>
          <w:sz w:val="22"/>
          <w:szCs w:val="22"/>
        </w:rPr>
        <w:t xml:space="preserve"> </w:t>
      </w:r>
      <w:r w:rsidRPr="00DD154E">
        <w:rPr>
          <w:rFonts w:ascii="TimesNewRomanPS" w:eastAsia="Times New Roman" w:hAnsi="TimesNewRomanPS"/>
          <w:i/>
          <w:iCs/>
          <w:sz w:val="22"/>
          <w:szCs w:val="22"/>
          <w:lang w:val="en-US"/>
        </w:rPr>
        <w:t>Department of Neurosurgery, Medical Park Ankara Hospital, Ankara, Turkey</w:t>
      </w:r>
    </w:p>
    <w:p w14:paraId="4C117DD0" w14:textId="59A3BD63" w:rsidR="00A479CC" w:rsidRPr="00CE3FA2" w:rsidRDefault="00CE3FA2" w:rsidP="00CE3FA2">
      <w:pPr>
        <w:spacing w:before="6" w:line="276" w:lineRule="auto"/>
        <w:ind w:right="386"/>
        <w:rPr>
          <w:sz w:val="20"/>
          <w:szCs w:val="20"/>
        </w:rPr>
      </w:pPr>
      <w:r w:rsidRPr="0031367A">
        <w:rPr>
          <w:sz w:val="20"/>
          <w:szCs w:val="20"/>
        </w:rPr>
        <w:t>*Corresponding author:</w:t>
      </w:r>
      <w:r>
        <w:rPr>
          <w:sz w:val="20"/>
          <w:szCs w:val="20"/>
        </w:rPr>
        <w:t xml:space="preserve"> </w:t>
      </w:r>
      <w:r w:rsidRPr="000D4738">
        <w:rPr>
          <w:sz w:val="20"/>
          <w:szCs w:val="20"/>
        </w:rPr>
        <w:t>Danielencarnacion2280@gmail.com</w:t>
      </w:r>
    </w:p>
    <w:tbl>
      <w:tblPr>
        <w:tblStyle w:val="TableGrid"/>
        <w:tblW w:w="50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1"/>
        <w:gridCol w:w="235"/>
        <w:gridCol w:w="6715"/>
      </w:tblGrid>
      <w:tr w:rsidR="00A479CC" w:rsidRPr="00A479CC" w14:paraId="34E69D1F" w14:textId="77777777" w:rsidTr="00DD154E">
        <w:tc>
          <w:tcPr>
            <w:tcW w:w="1399" w:type="pct"/>
            <w:tcBorders>
              <w:top w:val="single" w:sz="4" w:space="0" w:color="auto"/>
              <w:bottom w:val="single" w:sz="4" w:space="0" w:color="auto"/>
            </w:tcBorders>
          </w:tcPr>
          <w:p w14:paraId="670717A6" w14:textId="77777777" w:rsidR="00A479CC" w:rsidRPr="00A479CC" w:rsidRDefault="00A479CC" w:rsidP="000C0F2E">
            <w:pPr>
              <w:pStyle w:val="InfoArtikel"/>
              <w:spacing w:line="276" w:lineRule="auto"/>
              <w:jc w:val="both"/>
              <w:rPr>
                <w:rFonts w:ascii="Times New Roman" w:hAnsi="Times New Roman" w:cs="Times New Roman"/>
              </w:rPr>
            </w:pPr>
            <w:r w:rsidRPr="00A479CC">
              <w:rPr>
                <w:rFonts w:ascii="Times New Roman" w:hAnsi="Times New Roman" w:cs="Times New Roman"/>
              </w:rPr>
              <w:t>ARTICLE   INFO</w:t>
            </w:r>
          </w:p>
        </w:tc>
        <w:tc>
          <w:tcPr>
            <w:tcW w:w="122" w:type="pct"/>
            <w:vMerge w:val="restart"/>
          </w:tcPr>
          <w:p w14:paraId="16232209" w14:textId="77777777" w:rsidR="00A479CC" w:rsidRPr="00A479CC" w:rsidRDefault="00A479CC" w:rsidP="000C0F2E">
            <w:pPr>
              <w:pStyle w:val="Abstrak"/>
              <w:spacing w:line="276" w:lineRule="auto"/>
              <w:jc w:val="both"/>
              <w:rPr>
                <w:rFonts w:ascii="Times New Roman" w:hAnsi="Times New Roman"/>
                <w:iCs w:val="0"/>
              </w:rPr>
            </w:pPr>
          </w:p>
        </w:tc>
        <w:tc>
          <w:tcPr>
            <w:tcW w:w="3479" w:type="pct"/>
            <w:tcBorders>
              <w:top w:val="single" w:sz="4" w:space="0" w:color="auto"/>
              <w:bottom w:val="single" w:sz="4" w:space="0" w:color="auto"/>
            </w:tcBorders>
          </w:tcPr>
          <w:p w14:paraId="5CDD67DE" w14:textId="77777777" w:rsidR="00A479CC" w:rsidRPr="00CC2E5E" w:rsidRDefault="00A479CC" w:rsidP="000C0F2E">
            <w:pPr>
              <w:pStyle w:val="Abstrak"/>
              <w:spacing w:line="276" w:lineRule="auto"/>
              <w:jc w:val="both"/>
              <w:rPr>
                <w:rFonts w:ascii="Times New Roman" w:hAnsi="Times New Roman"/>
                <w:iCs w:val="0"/>
                <w:szCs w:val="20"/>
              </w:rPr>
            </w:pPr>
            <w:r w:rsidRPr="00CC2E5E">
              <w:rPr>
                <w:rFonts w:ascii="Times New Roman" w:hAnsi="Times New Roman"/>
                <w:iCs w:val="0"/>
                <w:szCs w:val="20"/>
              </w:rPr>
              <w:t>ABSTRACT</w:t>
            </w:r>
          </w:p>
        </w:tc>
      </w:tr>
      <w:tr w:rsidR="0001419A" w:rsidRPr="00A479CC" w14:paraId="4024765D" w14:textId="77777777" w:rsidTr="00DD154E">
        <w:trPr>
          <w:trHeight w:val="1136"/>
        </w:trPr>
        <w:tc>
          <w:tcPr>
            <w:tcW w:w="1399" w:type="pct"/>
            <w:tcBorders>
              <w:top w:val="single" w:sz="4" w:space="0" w:color="auto"/>
              <w:bottom w:val="single" w:sz="4" w:space="0" w:color="auto"/>
            </w:tcBorders>
          </w:tcPr>
          <w:p w14:paraId="4CE6E6D5" w14:textId="77777777" w:rsidR="0001419A" w:rsidRPr="00A479CC" w:rsidRDefault="0001419A" w:rsidP="000C0F2E">
            <w:pPr>
              <w:pStyle w:val="Sejarahartikel"/>
              <w:spacing w:line="276" w:lineRule="auto"/>
              <w:jc w:val="both"/>
              <w:rPr>
                <w:rFonts w:ascii="Times New Roman" w:hAnsi="Times New Roman" w:cs="Times New Roman"/>
                <w:i w:val="0"/>
                <w:sz w:val="18"/>
                <w:szCs w:val="18"/>
              </w:rPr>
            </w:pPr>
            <w:r w:rsidRPr="00A479CC">
              <w:rPr>
                <w:rFonts w:ascii="Times New Roman" w:hAnsi="Times New Roman" w:cs="Times New Roman"/>
                <w:i w:val="0"/>
                <w:sz w:val="18"/>
                <w:szCs w:val="18"/>
              </w:rPr>
              <w:t>Article history:</w:t>
            </w:r>
          </w:p>
          <w:p w14:paraId="51325A69" w14:textId="2BAB6934" w:rsidR="0001419A" w:rsidRPr="00A30C7B" w:rsidRDefault="0001419A" w:rsidP="000C0F2E">
            <w:pPr>
              <w:pStyle w:val="Isisejarahartikel"/>
              <w:spacing w:line="276" w:lineRule="auto"/>
              <w:rPr>
                <w:rFonts w:ascii="Times New Roman" w:hAnsi="Times New Roman" w:cs="Times New Roman"/>
                <w:sz w:val="18"/>
                <w:szCs w:val="18"/>
              </w:rPr>
            </w:pPr>
            <w:proofErr w:type="gramStart"/>
            <w:r w:rsidRPr="004905EF">
              <w:rPr>
                <w:rFonts w:ascii="Times New Roman" w:hAnsi="Times New Roman" w:cs="Times New Roman"/>
                <w:sz w:val="18"/>
                <w:szCs w:val="18"/>
              </w:rPr>
              <w:t>Received</w:t>
            </w:r>
            <w:r w:rsidR="009550D0">
              <w:rPr>
                <w:rFonts w:ascii="Times New Roman" w:hAnsi="Times New Roman" w:cs="Times New Roman"/>
                <w:sz w:val="18"/>
                <w:szCs w:val="18"/>
              </w:rPr>
              <w:t xml:space="preserve"> :</w:t>
            </w:r>
            <w:proofErr w:type="gramEnd"/>
            <w:r w:rsidRPr="004905EF">
              <w:rPr>
                <w:rFonts w:ascii="Times New Roman" w:hAnsi="Times New Roman" w:cs="Times New Roman"/>
                <w:sz w:val="18"/>
                <w:szCs w:val="18"/>
              </w:rPr>
              <w:t xml:space="preserve"> </w:t>
            </w:r>
            <w:r w:rsidR="00DD154E">
              <w:rPr>
                <w:rFonts w:ascii="Times New Roman" w:hAnsi="Times New Roman" w:cs="Times New Roman"/>
                <w:sz w:val="18"/>
                <w:szCs w:val="18"/>
              </w:rPr>
              <w:t>Jan 23</w:t>
            </w:r>
            <w:r w:rsidR="00DD154E" w:rsidRPr="00DD154E">
              <w:rPr>
                <w:rFonts w:ascii="Times New Roman" w:hAnsi="Times New Roman" w:cs="Times New Roman"/>
                <w:sz w:val="18"/>
                <w:szCs w:val="18"/>
                <w:vertAlign w:val="superscript"/>
              </w:rPr>
              <w:t>rd</w:t>
            </w:r>
            <w:r w:rsidR="00DD154E">
              <w:rPr>
                <w:rFonts w:ascii="Times New Roman" w:hAnsi="Times New Roman" w:cs="Times New Roman"/>
                <w:sz w:val="18"/>
                <w:szCs w:val="18"/>
              </w:rPr>
              <w:t xml:space="preserve"> 2026</w:t>
            </w:r>
          </w:p>
          <w:p w14:paraId="13C3509A" w14:textId="09472E09" w:rsidR="0001419A" w:rsidRPr="004905EF" w:rsidRDefault="0001419A" w:rsidP="000C0F2E">
            <w:pPr>
              <w:pStyle w:val="Isisejarahartikel"/>
              <w:spacing w:line="276" w:lineRule="auto"/>
              <w:rPr>
                <w:rFonts w:ascii="Times New Roman" w:hAnsi="Times New Roman" w:cs="Times New Roman"/>
                <w:sz w:val="18"/>
                <w:szCs w:val="18"/>
              </w:rPr>
            </w:pPr>
            <w:r w:rsidRPr="004905EF">
              <w:rPr>
                <w:rFonts w:ascii="Times New Roman" w:hAnsi="Times New Roman" w:cs="Times New Roman"/>
                <w:sz w:val="18"/>
                <w:szCs w:val="18"/>
              </w:rPr>
              <w:t>Revised</w:t>
            </w:r>
            <w:r w:rsidR="00A30C7B">
              <w:rPr>
                <w:rFonts w:ascii="Times New Roman" w:hAnsi="Times New Roman" w:cs="Times New Roman"/>
                <w:sz w:val="18"/>
                <w:szCs w:val="18"/>
              </w:rPr>
              <w:t xml:space="preserve"> </w:t>
            </w:r>
            <w:proofErr w:type="gramStart"/>
            <w:r w:rsidR="009550D0">
              <w:rPr>
                <w:rFonts w:ascii="Times New Roman" w:hAnsi="Times New Roman" w:cs="Times New Roman"/>
                <w:sz w:val="18"/>
                <w:szCs w:val="18"/>
              </w:rPr>
              <w:t xml:space="preserve">  :</w:t>
            </w:r>
            <w:proofErr w:type="gramEnd"/>
            <w:r w:rsidR="00A30C7B">
              <w:rPr>
                <w:rFonts w:ascii="Times New Roman" w:hAnsi="Times New Roman" w:cs="Times New Roman"/>
                <w:sz w:val="18"/>
                <w:szCs w:val="18"/>
              </w:rPr>
              <w:t xml:space="preserve"> </w:t>
            </w:r>
            <w:r w:rsidR="00DD154E">
              <w:rPr>
                <w:rFonts w:ascii="Times New Roman" w:hAnsi="Times New Roman" w:cs="Times New Roman"/>
                <w:sz w:val="18"/>
                <w:szCs w:val="18"/>
              </w:rPr>
              <w:t>Mar 22</w:t>
            </w:r>
            <w:r w:rsidR="00DD154E" w:rsidRPr="00DD154E">
              <w:rPr>
                <w:rFonts w:ascii="Times New Roman" w:hAnsi="Times New Roman" w:cs="Times New Roman"/>
                <w:sz w:val="18"/>
                <w:szCs w:val="18"/>
                <w:vertAlign w:val="superscript"/>
              </w:rPr>
              <w:t>nd</w:t>
            </w:r>
            <w:r w:rsidR="00DD154E">
              <w:rPr>
                <w:rFonts w:ascii="Times New Roman" w:hAnsi="Times New Roman" w:cs="Times New Roman"/>
                <w:sz w:val="18"/>
                <w:szCs w:val="18"/>
              </w:rPr>
              <w:t xml:space="preserve"> 2026</w:t>
            </w:r>
          </w:p>
          <w:p w14:paraId="46F7F159" w14:textId="2B87A28C" w:rsidR="0001419A" w:rsidRPr="00A30C7B" w:rsidRDefault="0001419A" w:rsidP="000C0F2E">
            <w:pPr>
              <w:pStyle w:val="Isisejarahartikel"/>
              <w:spacing w:line="276" w:lineRule="auto"/>
              <w:rPr>
                <w:rFonts w:ascii="Times New Roman" w:hAnsi="Times New Roman" w:cs="Times New Roman"/>
                <w:sz w:val="18"/>
                <w:szCs w:val="18"/>
              </w:rPr>
            </w:pPr>
            <w:proofErr w:type="gramStart"/>
            <w:r w:rsidRPr="004905EF">
              <w:rPr>
                <w:rFonts w:ascii="Times New Roman" w:hAnsi="Times New Roman" w:cs="Times New Roman"/>
                <w:sz w:val="18"/>
                <w:szCs w:val="18"/>
              </w:rPr>
              <w:t>Accepted</w:t>
            </w:r>
            <w:r w:rsidR="009550D0">
              <w:rPr>
                <w:rFonts w:ascii="Times New Roman" w:hAnsi="Times New Roman" w:cs="Times New Roman"/>
                <w:sz w:val="18"/>
                <w:szCs w:val="18"/>
              </w:rPr>
              <w:t xml:space="preserve"> :</w:t>
            </w:r>
            <w:proofErr w:type="gramEnd"/>
            <w:r w:rsidRPr="004905EF">
              <w:rPr>
                <w:rFonts w:ascii="Times New Roman" w:hAnsi="Times New Roman" w:cs="Times New Roman"/>
                <w:sz w:val="18"/>
                <w:szCs w:val="18"/>
              </w:rPr>
              <w:t xml:space="preserve"> </w:t>
            </w:r>
            <w:r w:rsidR="00DD154E">
              <w:rPr>
                <w:rFonts w:ascii="Times New Roman" w:hAnsi="Times New Roman" w:cs="Times New Roman"/>
                <w:sz w:val="18"/>
                <w:szCs w:val="18"/>
              </w:rPr>
              <w:t>Mar 25</w:t>
            </w:r>
            <w:r w:rsidR="00DD154E" w:rsidRPr="00DD154E">
              <w:rPr>
                <w:rFonts w:ascii="Times New Roman" w:hAnsi="Times New Roman" w:cs="Times New Roman"/>
                <w:sz w:val="18"/>
                <w:szCs w:val="18"/>
                <w:vertAlign w:val="superscript"/>
              </w:rPr>
              <w:t>th</w:t>
            </w:r>
            <w:r w:rsidR="00DD154E">
              <w:rPr>
                <w:rFonts w:ascii="Times New Roman" w:hAnsi="Times New Roman" w:cs="Times New Roman"/>
                <w:sz w:val="18"/>
                <w:szCs w:val="18"/>
              </w:rPr>
              <w:t xml:space="preserve"> 2026</w:t>
            </w:r>
          </w:p>
          <w:p w14:paraId="30F2AF29" w14:textId="1ACB0E35" w:rsidR="0001419A" w:rsidRPr="00751881" w:rsidRDefault="0001419A" w:rsidP="000C0F2E">
            <w:pPr>
              <w:pStyle w:val="Isisejarahartikel"/>
              <w:spacing w:line="276" w:lineRule="auto"/>
              <w:rPr>
                <w:rFonts w:ascii="Times New Roman" w:hAnsi="Times New Roman" w:cs="Times New Roman"/>
                <w:sz w:val="18"/>
                <w:szCs w:val="18"/>
              </w:rPr>
            </w:pPr>
            <w:proofErr w:type="gramStart"/>
            <w:r w:rsidRPr="004905EF">
              <w:rPr>
                <w:rFonts w:ascii="Times New Roman" w:hAnsi="Times New Roman" w:cs="Times New Roman"/>
                <w:sz w:val="18"/>
                <w:szCs w:val="18"/>
              </w:rPr>
              <w:t>Available</w:t>
            </w:r>
            <w:r w:rsidR="00A30C7B">
              <w:rPr>
                <w:rFonts w:ascii="Times New Roman" w:hAnsi="Times New Roman" w:cs="Times New Roman"/>
                <w:sz w:val="18"/>
                <w:szCs w:val="18"/>
              </w:rPr>
              <w:t xml:space="preserve"> </w:t>
            </w:r>
            <w:r w:rsidR="009550D0">
              <w:rPr>
                <w:rFonts w:ascii="Times New Roman" w:hAnsi="Times New Roman" w:cs="Times New Roman"/>
                <w:sz w:val="18"/>
                <w:szCs w:val="18"/>
              </w:rPr>
              <w:t>:</w:t>
            </w:r>
            <w:proofErr w:type="gramEnd"/>
            <w:r w:rsidR="00A30C7B">
              <w:rPr>
                <w:rFonts w:ascii="Times New Roman" w:hAnsi="Times New Roman" w:cs="Times New Roman"/>
                <w:sz w:val="18"/>
                <w:szCs w:val="18"/>
              </w:rPr>
              <w:t xml:space="preserve"> </w:t>
            </w:r>
            <w:r w:rsidR="00DD154E">
              <w:rPr>
                <w:rFonts w:ascii="Times New Roman" w:hAnsi="Times New Roman" w:cs="Times New Roman"/>
                <w:sz w:val="18"/>
                <w:szCs w:val="18"/>
              </w:rPr>
              <w:t>May, 07</w:t>
            </w:r>
            <w:r w:rsidR="00DD154E" w:rsidRPr="005937E8">
              <w:rPr>
                <w:rFonts w:ascii="Times New Roman" w:hAnsi="Times New Roman" w:cs="Times New Roman"/>
                <w:sz w:val="18"/>
                <w:szCs w:val="18"/>
                <w:vertAlign w:val="superscript"/>
              </w:rPr>
              <w:t>th</w:t>
            </w:r>
            <w:r w:rsidR="00DD154E">
              <w:rPr>
                <w:rFonts w:ascii="Times New Roman" w:hAnsi="Times New Roman" w:cs="Times New Roman"/>
                <w:sz w:val="18"/>
                <w:szCs w:val="18"/>
              </w:rPr>
              <w:t>, 2026</w:t>
            </w:r>
          </w:p>
          <w:p w14:paraId="69368AD7" w14:textId="77777777" w:rsidR="0001419A" w:rsidRPr="00A479CC" w:rsidRDefault="0001419A" w:rsidP="000C0F2E">
            <w:pPr>
              <w:pStyle w:val="Isisejarahartikel"/>
              <w:spacing w:line="276" w:lineRule="auto"/>
              <w:jc w:val="both"/>
              <w:rPr>
                <w:rFonts w:ascii="Times New Roman" w:hAnsi="Times New Roman" w:cs="Times New Roman"/>
                <w:sz w:val="18"/>
                <w:szCs w:val="18"/>
              </w:rPr>
            </w:pPr>
          </w:p>
          <w:p w14:paraId="03C681B5" w14:textId="7979AC13" w:rsidR="0001419A" w:rsidRPr="00A479CC" w:rsidRDefault="0001419A" w:rsidP="00DD154E">
            <w:pPr>
              <w:pStyle w:val="Default"/>
              <w:spacing w:line="276" w:lineRule="auto"/>
              <w:jc w:val="both"/>
              <w:rPr>
                <w:rFonts w:ascii="Times New Roman" w:hAnsi="Times New Roman" w:cs="Times New Roman"/>
                <w:sz w:val="18"/>
                <w:szCs w:val="18"/>
              </w:rPr>
            </w:pPr>
            <w:r w:rsidRPr="00A479CC">
              <w:rPr>
                <w:rFonts w:ascii="Times New Roman" w:hAnsi="Times New Roman" w:cs="Times New Roman"/>
                <w:sz w:val="18"/>
                <w:szCs w:val="18"/>
              </w:rPr>
              <w:t xml:space="preserve">E-ISSN: </w:t>
            </w:r>
            <w:r w:rsidR="00DD154E" w:rsidRPr="00751881">
              <w:rPr>
                <w:rFonts w:ascii="Times New Roman" w:hAnsi="Times New Roman" w:cs="Times New Roman"/>
                <w:sz w:val="18"/>
                <w:szCs w:val="18"/>
              </w:rPr>
              <w:t>2686-0848</w:t>
            </w:r>
          </w:p>
        </w:tc>
        <w:tc>
          <w:tcPr>
            <w:tcW w:w="122" w:type="pct"/>
            <w:vMerge/>
          </w:tcPr>
          <w:p w14:paraId="716AAD88" w14:textId="77777777" w:rsidR="0001419A" w:rsidRPr="00A479CC" w:rsidRDefault="0001419A" w:rsidP="000C0F2E">
            <w:pPr>
              <w:pStyle w:val="Isiabstrak"/>
              <w:spacing w:line="276" w:lineRule="auto"/>
              <w:rPr>
                <w:rFonts w:ascii="Times New Roman" w:hAnsi="Times New Roman" w:cs="Times New Roman"/>
                <w:iCs w:val="0"/>
              </w:rPr>
            </w:pPr>
          </w:p>
        </w:tc>
        <w:tc>
          <w:tcPr>
            <w:tcW w:w="3479" w:type="pct"/>
            <w:vMerge w:val="restart"/>
            <w:tcBorders>
              <w:top w:val="single" w:sz="4" w:space="0" w:color="auto"/>
            </w:tcBorders>
          </w:tcPr>
          <w:p w14:paraId="46372217" w14:textId="77777777" w:rsidR="00941ED4" w:rsidRDefault="0031367A" w:rsidP="0031367A">
            <w:pPr>
              <w:spacing w:line="276" w:lineRule="auto"/>
              <w:jc w:val="both"/>
              <w:rPr>
                <w:color w:val="000000"/>
                <w:lang w:val="en-ID"/>
              </w:rPr>
            </w:pPr>
            <w:r>
              <w:rPr>
                <w:b/>
                <w:bCs/>
                <w:iCs/>
              </w:rPr>
              <w:t>Introduction:</w:t>
            </w:r>
            <w:r w:rsidR="00887E4F">
              <w:rPr>
                <w:b/>
                <w:bCs/>
                <w:iCs/>
              </w:rPr>
              <w:t xml:space="preserve"> </w:t>
            </w:r>
            <w:proofErr w:type="spellStart"/>
            <w:r w:rsidR="00941ED4" w:rsidRPr="00941ED4">
              <w:rPr>
                <w:color w:val="000000"/>
                <w:lang w:val="en-ID"/>
              </w:rPr>
              <w:t>Pediatric</w:t>
            </w:r>
            <w:proofErr w:type="spellEnd"/>
            <w:r w:rsidR="00941ED4" w:rsidRPr="00941ED4">
              <w:rPr>
                <w:color w:val="000000"/>
                <w:lang w:val="en-ID"/>
              </w:rPr>
              <w:t xml:space="preserve"> brain arteriovenous malformations (AVMs) frequently present with </w:t>
            </w:r>
            <w:proofErr w:type="spellStart"/>
            <w:r w:rsidR="00941ED4" w:rsidRPr="00941ED4">
              <w:rPr>
                <w:color w:val="000000"/>
                <w:lang w:val="en-ID"/>
              </w:rPr>
              <w:t>hemorrhage</w:t>
            </w:r>
            <w:proofErr w:type="spellEnd"/>
            <w:r w:rsidR="00941ED4" w:rsidRPr="00941ED4">
              <w:rPr>
                <w:color w:val="000000"/>
                <w:lang w:val="en-ID"/>
              </w:rPr>
              <w:t xml:space="preserve"> and carry a mortality rate of 5%–10%. This report evaluates the management of two </w:t>
            </w:r>
            <w:proofErr w:type="spellStart"/>
            <w:r w:rsidR="00941ED4" w:rsidRPr="00941ED4">
              <w:rPr>
                <w:color w:val="000000"/>
                <w:lang w:val="en-ID"/>
              </w:rPr>
              <w:t>pediatric</w:t>
            </w:r>
            <w:proofErr w:type="spellEnd"/>
            <w:r w:rsidR="00941ED4" w:rsidRPr="00941ED4">
              <w:rPr>
                <w:color w:val="000000"/>
                <w:lang w:val="en-ID"/>
              </w:rPr>
              <w:t xml:space="preserve"> cases involving different therapeutic pathways based on clinical complexity.</w:t>
            </w:r>
          </w:p>
          <w:p w14:paraId="4693FCC2" w14:textId="77777777" w:rsidR="00941ED4" w:rsidRDefault="00735117" w:rsidP="00887E4F">
            <w:pPr>
              <w:spacing w:line="276" w:lineRule="auto"/>
              <w:jc w:val="both"/>
              <w:rPr>
                <w:color w:val="000000"/>
                <w:lang w:val="en-ID"/>
              </w:rPr>
            </w:pPr>
            <w:r>
              <w:rPr>
                <w:b/>
                <w:bCs/>
                <w:iCs/>
              </w:rPr>
              <w:t>Case Description</w:t>
            </w:r>
            <w:r w:rsidR="0031367A">
              <w:rPr>
                <w:b/>
                <w:bCs/>
                <w:iCs/>
              </w:rPr>
              <w:t xml:space="preserve">: </w:t>
            </w:r>
            <w:r w:rsidR="00941ED4" w:rsidRPr="00941ED4">
              <w:rPr>
                <w:bCs/>
                <w:color w:val="000000"/>
                <w:lang w:val="en-ID"/>
              </w:rPr>
              <w:t>Case 1:</w:t>
            </w:r>
            <w:r w:rsidR="00941ED4" w:rsidRPr="00941ED4">
              <w:rPr>
                <w:color w:val="000000"/>
                <w:lang w:val="en-ID"/>
              </w:rPr>
              <w:t xml:space="preserve"> An 11-year-old boy presented with isolated headaches, vomiting, lethargy, and slurred speech. Preoperative MRI/CT diagnosed an AVM of the anterior cerebral artery. The patient underwent primary endovascular embolization using SQUID-1 via an Apollo microcatheter. Post-procedural angiography confirmed complete occlusion of the AVM. At discharge, the patient showed improved sensation in the left extremities.</w:t>
            </w:r>
          </w:p>
          <w:p w14:paraId="3828E32D" w14:textId="77777777" w:rsidR="00941ED4" w:rsidRDefault="0031367A" w:rsidP="007A5C0B">
            <w:pPr>
              <w:spacing w:line="276" w:lineRule="auto"/>
              <w:jc w:val="both"/>
              <w:rPr>
                <w:color w:val="000000"/>
                <w:lang w:val="en-ID"/>
              </w:rPr>
            </w:pPr>
            <w:r>
              <w:rPr>
                <w:b/>
                <w:bCs/>
                <w:iCs/>
              </w:rPr>
              <w:t>Conclusion:</w:t>
            </w:r>
            <w:r w:rsidR="00F94CDD">
              <w:rPr>
                <w:b/>
                <w:bCs/>
                <w:iCs/>
              </w:rPr>
              <w:t xml:space="preserve"> </w:t>
            </w:r>
            <w:r w:rsidR="00941ED4" w:rsidRPr="00941ED4">
              <w:rPr>
                <w:color w:val="000000"/>
                <w:lang w:val="en-ID"/>
              </w:rPr>
              <w:t xml:space="preserve">Successful management of </w:t>
            </w:r>
            <w:proofErr w:type="spellStart"/>
            <w:r w:rsidR="00941ED4" w:rsidRPr="00941ED4">
              <w:rPr>
                <w:color w:val="000000"/>
                <w:lang w:val="en-ID"/>
              </w:rPr>
              <w:t>pediatric</w:t>
            </w:r>
            <w:proofErr w:type="spellEnd"/>
            <w:r w:rsidR="00941ED4" w:rsidRPr="00941ED4">
              <w:rPr>
                <w:color w:val="000000"/>
                <w:lang w:val="en-ID"/>
              </w:rPr>
              <w:t xml:space="preserve"> AVMs requires multimodal strategies, including endovascular embolization and microsurgery, tailored to the </w:t>
            </w:r>
            <w:proofErr w:type="spellStart"/>
            <w:r w:rsidR="00941ED4" w:rsidRPr="00941ED4">
              <w:rPr>
                <w:color w:val="000000"/>
                <w:lang w:val="en-ID"/>
              </w:rPr>
              <w:t>Spetzler</w:t>
            </w:r>
            <w:proofErr w:type="spellEnd"/>
            <w:r w:rsidR="00941ED4" w:rsidRPr="00941ED4">
              <w:rPr>
                <w:color w:val="000000"/>
                <w:lang w:val="en-ID"/>
              </w:rPr>
              <w:t>-Martin grade and rupture status. Objective outcomes in these cases demonstrated that combining liquid embolic agents with surgical excision can achieve complete obliteration and stable neurological recovery.</w:t>
            </w:r>
          </w:p>
          <w:p w14:paraId="74DC3D31" w14:textId="1AC9FF16" w:rsidR="000D4738" w:rsidRPr="00941ED4" w:rsidRDefault="0031367A" w:rsidP="007A5C0B">
            <w:pPr>
              <w:spacing w:line="276" w:lineRule="auto"/>
              <w:jc w:val="both"/>
              <w:rPr>
                <w:iCs/>
              </w:rPr>
            </w:pPr>
            <w:r>
              <w:rPr>
                <w:b/>
                <w:bCs/>
                <w:iCs/>
              </w:rPr>
              <w:t>Keyword:</w:t>
            </w:r>
            <w:r>
              <w:rPr>
                <w:iCs/>
              </w:rPr>
              <w:t xml:space="preserve"> </w:t>
            </w:r>
            <w:r w:rsidR="00941ED4" w:rsidRPr="00941ED4">
              <w:rPr>
                <w:iCs/>
              </w:rPr>
              <w:t>Cerebral Arteriovenous Malformation, Endovascular embolization, Microcatheters, Pediatrics</w:t>
            </w:r>
          </w:p>
        </w:tc>
      </w:tr>
      <w:tr w:rsidR="0001419A" w:rsidRPr="00A479CC" w14:paraId="5B79D995" w14:textId="77777777" w:rsidTr="00DD154E">
        <w:trPr>
          <w:trHeight w:val="1656"/>
        </w:trPr>
        <w:tc>
          <w:tcPr>
            <w:tcW w:w="1399" w:type="pct"/>
            <w:tcBorders>
              <w:top w:val="single" w:sz="4" w:space="0" w:color="auto"/>
              <w:bottom w:val="single" w:sz="4" w:space="0" w:color="auto"/>
            </w:tcBorders>
          </w:tcPr>
          <w:p w14:paraId="44A021B1" w14:textId="77777777" w:rsidR="0001419A" w:rsidRDefault="0001419A" w:rsidP="000C0F2E">
            <w:pPr>
              <w:pStyle w:val="Isisitasi"/>
              <w:spacing w:line="276" w:lineRule="auto"/>
              <w:jc w:val="both"/>
              <w:rPr>
                <w:rFonts w:ascii="Times New Roman" w:hAnsi="Times New Roman" w:cs="Times New Roman"/>
                <w:b/>
                <w:bCs/>
                <w:sz w:val="18"/>
                <w:szCs w:val="18"/>
              </w:rPr>
            </w:pPr>
            <w:r w:rsidRPr="004905EF">
              <w:rPr>
                <w:rFonts w:ascii="Times New Roman" w:hAnsi="Times New Roman" w:cs="Times New Roman"/>
                <w:b/>
                <w:bCs/>
                <w:sz w:val="18"/>
                <w:szCs w:val="18"/>
                <w:lang w:val="en-ID"/>
              </w:rPr>
              <w:t>How to cite</w:t>
            </w:r>
            <w:r w:rsidRPr="004905EF">
              <w:rPr>
                <w:rFonts w:ascii="Times New Roman" w:hAnsi="Times New Roman" w:cs="Times New Roman"/>
                <w:b/>
                <w:bCs/>
                <w:sz w:val="18"/>
                <w:szCs w:val="18"/>
              </w:rPr>
              <w:t>:</w:t>
            </w:r>
            <w:r w:rsidRPr="00A479CC">
              <w:rPr>
                <w:rFonts w:ascii="Times New Roman" w:hAnsi="Times New Roman" w:cs="Times New Roman"/>
                <w:b/>
                <w:bCs/>
                <w:sz w:val="18"/>
                <w:szCs w:val="18"/>
              </w:rPr>
              <w:t xml:space="preserve"> </w:t>
            </w:r>
          </w:p>
          <w:p w14:paraId="3F6EB70E" w14:textId="79DF6217" w:rsidR="0001419A" w:rsidRPr="001A4B42" w:rsidRDefault="00DD154E" w:rsidP="004504EC">
            <w:pPr>
              <w:pStyle w:val="Isisejarahartikel"/>
              <w:spacing w:line="276" w:lineRule="auto"/>
              <w:jc w:val="both"/>
              <w:rPr>
                <w:rFonts w:ascii="Times New Roman" w:hAnsi="Times New Roman" w:cs="Times New Roman"/>
                <w:sz w:val="18"/>
                <w:szCs w:val="18"/>
              </w:rPr>
            </w:pPr>
            <w:r>
              <w:rPr>
                <w:rFonts w:ascii="Times New Roman" w:hAnsi="Times New Roman" w:cs="Times New Roman"/>
                <w:sz w:val="18"/>
                <w:szCs w:val="18"/>
              </w:rPr>
              <w:t xml:space="preserve">Daniel ES, </w:t>
            </w:r>
            <w:proofErr w:type="spellStart"/>
            <w:r>
              <w:rPr>
                <w:rFonts w:ascii="Times New Roman" w:hAnsi="Times New Roman" w:cs="Times New Roman"/>
                <w:sz w:val="18"/>
                <w:szCs w:val="18"/>
              </w:rPr>
              <w:t>Chmutin</w:t>
            </w:r>
            <w:proofErr w:type="spellEnd"/>
            <w:r>
              <w:rPr>
                <w:rFonts w:ascii="Times New Roman" w:hAnsi="Times New Roman" w:cs="Times New Roman"/>
                <w:sz w:val="18"/>
                <w:szCs w:val="18"/>
              </w:rPr>
              <w:t xml:space="preserve"> G, </w:t>
            </w:r>
            <w:proofErr w:type="spellStart"/>
            <w:r w:rsidR="006031E0">
              <w:rPr>
                <w:rFonts w:ascii="Times New Roman" w:hAnsi="Times New Roman" w:cs="Times New Roman"/>
                <w:sz w:val="18"/>
                <w:szCs w:val="18"/>
              </w:rPr>
              <w:t>Chmutin</w:t>
            </w:r>
            <w:proofErr w:type="spellEnd"/>
            <w:r w:rsidR="006031E0">
              <w:rPr>
                <w:rFonts w:ascii="Times New Roman" w:hAnsi="Times New Roman" w:cs="Times New Roman"/>
                <w:sz w:val="18"/>
                <w:szCs w:val="18"/>
              </w:rPr>
              <w:t xml:space="preserve"> E, </w:t>
            </w:r>
            <w:proofErr w:type="spellStart"/>
            <w:r w:rsidR="006031E0">
              <w:rPr>
                <w:rFonts w:ascii="Times New Roman" w:hAnsi="Times New Roman" w:cs="Times New Roman"/>
                <w:sz w:val="18"/>
                <w:szCs w:val="18"/>
              </w:rPr>
              <w:t>Beksultan</w:t>
            </w:r>
            <w:proofErr w:type="spellEnd"/>
            <w:r w:rsidR="006031E0">
              <w:rPr>
                <w:rFonts w:ascii="Times New Roman" w:hAnsi="Times New Roman" w:cs="Times New Roman"/>
                <w:sz w:val="18"/>
                <w:szCs w:val="18"/>
              </w:rPr>
              <w:t xml:space="preserve"> A, </w:t>
            </w:r>
            <w:proofErr w:type="spellStart"/>
            <w:r w:rsidR="006031E0">
              <w:rPr>
                <w:rFonts w:ascii="Times New Roman" w:hAnsi="Times New Roman" w:cs="Times New Roman"/>
                <w:sz w:val="18"/>
                <w:szCs w:val="18"/>
              </w:rPr>
              <w:t>Bodanova</w:t>
            </w:r>
            <w:proofErr w:type="spellEnd"/>
            <w:r w:rsidR="006031E0">
              <w:rPr>
                <w:rFonts w:ascii="Times New Roman" w:hAnsi="Times New Roman" w:cs="Times New Roman"/>
                <w:sz w:val="18"/>
                <w:szCs w:val="18"/>
              </w:rPr>
              <w:t xml:space="preserve"> S, Ahmed N, Bozkurt I</w:t>
            </w:r>
            <w:r>
              <w:rPr>
                <w:rFonts w:ascii="Times New Roman" w:hAnsi="Times New Roman" w:cs="Times New Roman"/>
                <w:sz w:val="18"/>
                <w:szCs w:val="18"/>
              </w:rPr>
              <w:t xml:space="preserve">. </w:t>
            </w:r>
            <w:r w:rsidR="006031E0" w:rsidRPr="006031E0">
              <w:rPr>
                <w:rFonts w:ascii="Times New Roman" w:hAnsi="Times New Roman" w:cs="Times New Roman"/>
                <w:sz w:val="18"/>
                <w:szCs w:val="18"/>
              </w:rPr>
              <w:t>Management of the Cerebellar Hematoma after Posterior Cranial Fossa Trauma: A Case Report and Literature Review</w:t>
            </w:r>
            <w:r>
              <w:rPr>
                <w:rFonts w:ascii="Times New Roman" w:hAnsi="Times New Roman" w:cs="Times New Roman"/>
                <w:sz w:val="18"/>
                <w:szCs w:val="18"/>
              </w:rPr>
              <w:t>. Asian Australasian Neuro and Health Science Journal. 2026 Apr 08(01):01-06</w:t>
            </w:r>
          </w:p>
        </w:tc>
        <w:tc>
          <w:tcPr>
            <w:tcW w:w="122" w:type="pct"/>
            <w:vMerge/>
            <w:tcBorders>
              <w:bottom w:val="nil"/>
            </w:tcBorders>
          </w:tcPr>
          <w:p w14:paraId="157175B8" w14:textId="77777777" w:rsidR="0001419A" w:rsidRPr="00A479CC" w:rsidRDefault="0001419A" w:rsidP="000C0F2E">
            <w:pPr>
              <w:pStyle w:val="Isiabstract"/>
              <w:spacing w:line="276" w:lineRule="auto"/>
              <w:rPr>
                <w:rFonts w:ascii="Times New Roman" w:hAnsi="Times New Roman" w:cs="Times New Roman"/>
                <w:i w:val="0"/>
                <w:sz w:val="15"/>
              </w:rPr>
            </w:pPr>
          </w:p>
        </w:tc>
        <w:tc>
          <w:tcPr>
            <w:tcW w:w="3479" w:type="pct"/>
            <w:vMerge/>
            <w:tcBorders>
              <w:bottom w:val="nil"/>
            </w:tcBorders>
          </w:tcPr>
          <w:p w14:paraId="3CBDE152" w14:textId="7E87CB1D" w:rsidR="0001419A" w:rsidRPr="00CC2E5E" w:rsidRDefault="0001419A" w:rsidP="000C0F2E">
            <w:pPr>
              <w:pStyle w:val="Isiabstrak"/>
              <w:spacing w:line="276" w:lineRule="auto"/>
              <w:rPr>
                <w:rFonts w:ascii="Times New Roman" w:hAnsi="Times New Roman" w:cs="Times New Roman"/>
                <w:i/>
                <w:sz w:val="20"/>
                <w:szCs w:val="20"/>
              </w:rPr>
            </w:pPr>
          </w:p>
        </w:tc>
      </w:tr>
      <w:tr w:rsidR="0001419A" w:rsidRPr="00A479CC" w14:paraId="133B23B9" w14:textId="77777777" w:rsidTr="00DD154E">
        <w:trPr>
          <w:trHeight w:val="1324"/>
        </w:trPr>
        <w:tc>
          <w:tcPr>
            <w:tcW w:w="1399" w:type="pct"/>
            <w:tcBorders>
              <w:top w:val="single" w:sz="4" w:space="0" w:color="auto"/>
              <w:bottom w:val="single" w:sz="4" w:space="0" w:color="auto"/>
            </w:tcBorders>
            <w:vAlign w:val="center"/>
          </w:tcPr>
          <w:p w14:paraId="35C9B43B" w14:textId="77777777" w:rsidR="00751881" w:rsidRDefault="00751881" w:rsidP="000C0F2E">
            <w:pPr>
              <w:pStyle w:val="Hakcipta"/>
              <w:spacing w:line="276" w:lineRule="auto"/>
              <w:jc w:val="left"/>
              <w:rPr>
                <w:rFonts w:ascii="Times New Roman" w:hAnsi="Times New Roman" w:cs="Times New Roman"/>
                <w:sz w:val="18"/>
                <w:szCs w:val="18"/>
              </w:rPr>
            </w:pPr>
          </w:p>
          <w:p w14:paraId="7DFA07DE" w14:textId="7612B47A" w:rsidR="0001419A" w:rsidRPr="00303D76" w:rsidRDefault="0001419A" w:rsidP="000C0F2E">
            <w:pPr>
              <w:pStyle w:val="Hakcipta"/>
              <w:spacing w:line="276" w:lineRule="auto"/>
              <w:jc w:val="left"/>
              <w:rPr>
                <w:rFonts w:ascii="Times New Roman" w:hAnsi="Times New Roman" w:cs="Times New Roman"/>
              </w:rPr>
            </w:pPr>
            <w:r w:rsidRPr="00A479CC">
              <w:rPr>
                <w:rFonts w:ascii="Times New Roman" w:hAnsi="Times New Roman" w:cs="Times New Roman"/>
                <w:sz w:val="13"/>
                <w:szCs w:val="13"/>
              </w:rPr>
              <w:fldChar w:fldCharType="begin"/>
            </w:r>
            <w:r w:rsidRPr="00A479CC">
              <w:rPr>
                <w:rFonts w:ascii="Times New Roman" w:hAnsi="Times New Roman" w:cs="Times New Roman"/>
                <w:sz w:val="13"/>
                <w:szCs w:val="13"/>
              </w:rPr>
              <w:instrText xml:space="preserve"> INCLUDEPICTURE "https://upload.wikimedia.org/wikipedia/commons/thumb/5/57/CC-BY-SA_icon_white.svg/2560px-CC-BY-SA_icon_white.svg.png" \* MERGEFORMATINET </w:instrText>
            </w:r>
            <w:r w:rsidRPr="00A479CC">
              <w:rPr>
                <w:rFonts w:ascii="Times New Roman" w:hAnsi="Times New Roman" w:cs="Times New Roman"/>
                <w:sz w:val="13"/>
                <w:szCs w:val="13"/>
              </w:rPr>
              <w:fldChar w:fldCharType="separate"/>
            </w:r>
            <w:r w:rsidRPr="00A479CC">
              <w:rPr>
                <w:rFonts w:ascii="Times New Roman" w:hAnsi="Times New Roman" w:cs="Times New Roman"/>
                <w:noProof/>
                <w:sz w:val="13"/>
                <w:szCs w:val="13"/>
                <w:lang w:val="id-ID" w:eastAsia="id-ID"/>
              </w:rPr>
              <w:drawing>
                <wp:inline distT="0" distB="0" distL="0" distR="0" wp14:anchorId="5ED6287A" wp14:editId="58DBB9F8">
                  <wp:extent cx="720000" cy="253674"/>
                  <wp:effectExtent l="0" t="0" r="4445" b="635"/>
                  <wp:docPr id="1" name="Picture 1" descr="A picture containing text, clipart&#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0000" cy="253674"/>
                          </a:xfrm>
                          <a:prstGeom prst="rect">
                            <a:avLst/>
                          </a:prstGeom>
                          <a:noFill/>
                          <a:ln>
                            <a:noFill/>
                          </a:ln>
                        </pic:spPr>
                      </pic:pic>
                    </a:graphicData>
                  </a:graphic>
                </wp:inline>
              </w:drawing>
            </w:r>
            <w:r w:rsidRPr="00A479CC">
              <w:rPr>
                <w:rFonts w:ascii="Times New Roman" w:hAnsi="Times New Roman" w:cs="Times New Roman"/>
                <w:sz w:val="13"/>
                <w:szCs w:val="13"/>
              </w:rPr>
              <w:fldChar w:fldCharType="end"/>
            </w:r>
          </w:p>
          <w:p w14:paraId="37E036E3" w14:textId="6F179D08" w:rsidR="0001419A" w:rsidRPr="00421362" w:rsidRDefault="00000000" w:rsidP="00421362">
            <w:pPr>
              <w:pStyle w:val="Hakcipta"/>
              <w:spacing w:line="276" w:lineRule="auto"/>
              <w:jc w:val="left"/>
              <w:rPr>
                <w:rFonts w:ascii="Times New Roman" w:hAnsi="Times New Roman" w:cs="Times New Roman"/>
                <w:b/>
                <w:bCs/>
                <w:sz w:val="13"/>
                <w:szCs w:val="13"/>
              </w:rPr>
            </w:pPr>
            <w:hyperlink r:id="rId12" w:history="1">
              <w:r w:rsidR="0001419A" w:rsidRPr="00A479CC">
                <w:rPr>
                  <w:rStyle w:val="Hyperlink"/>
                  <w:rFonts w:ascii="Times New Roman" w:hAnsi="Times New Roman" w:cs="Times New Roman"/>
                  <w:b/>
                  <w:bCs/>
                  <w:color w:val="auto"/>
                  <w:sz w:val="13"/>
                  <w:szCs w:val="13"/>
                </w:rPr>
                <w:t>This work is licensed under a Creative Commons Attribution-</w:t>
              </w:r>
              <w:proofErr w:type="spellStart"/>
              <w:r w:rsidR="0001419A" w:rsidRPr="00A479CC">
                <w:rPr>
                  <w:rStyle w:val="Hyperlink"/>
                  <w:rFonts w:ascii="Times New Roman" w:hAnsi="Times New Roman" w:cs="Times New Roman"/>
                  <w:b/>
                  <w:bCs/>
                  <w:color w:val="auto"/>
                  <w:sz w:val="13"/>
                  <w:szCs w:val="13"/>
                </w:rPr>
                <w:t>ShareAlike</w:t>
              </w:r>
              <w:proofErr w:type="spellEnd"/>
              <w:r w:rsidR="0001419A" w:rsidRPr="00A479CC">
                <w:rPr>
                  <w:rStyle w:val="Hyperlink"/>
                  <w:rFonts w:ascii="Times New Roman" w:hAnsi="Times New Roman" w:cs="Times New Roman"/>
                  <w:b/>
                  <w:bCs/>
                  <w:color w:val="auto"/>
                  <w:sz w:val="13"/>
                  <w:szCs w:val="13"/>
                </w:rPr>
                <w:t xml:space="preserve"> 4.0 International. </w:t>
              </w:r>
            </w:hyperlink>
            <w:r w:rsidR="0001419A" w:rsidRPr="00A479CC">
              <w:rPr>
                <w:rFonts w:ascii="Times New Roman" w:hAnsi="Times New Roman" w:cs="Times New Roman"/>
                <w:b/>
                <w:bCs/>
                <w:sz w:val="13"/>
                <w:szCs w:val="13"/>
              </w:rPr>
              <w:t xml:space="preserve"> </w:t>
            </w:r>
            <w:r w:rsidR="00A77581" w:rsidRPr="00A77581">
              <w:rPr>
                <w:rFonts w:ascii="Times New Roman" w:hAnsi="Times New Roman" w:cs="Times New Roman"/>
                <w:sz w:val="13"/>
                <w:szCs w:val="13"/>
              </w:rPr>
              <w:t xml:space="preserve">DOI: </w:t>
            </w:r>
            <w:r w:rsidR="00DE37FD" w:rsidRPr="00DE37FD">
              <w:rPr>
                <w:rFonts w:ascii="Times New Roman" w:hAnsi="Times New Roman" w:cs="Times New Roman"/>
                <w:sz w:val="13"/>
                <w:szCs w:val="13"/>
              </w:rPr>
              <w:t>10.32734/aanhs-j.v8i01.24586</w:t>
            </w:r>
          </w:p>
        </w:tc>
        <w:tc>
          <w:tcPr>
            <w:tcW w:w="122" w:type="pct"/>
            <w:vMerge/>
            <w:tcBorders>
              <w:bottom w:val="single" w:sz="4" w:space="0" w:color="auto"/>
            </w:tcBorders>
          </w:tcPr>
          <w:p w14:paraId="2FA6703E" w14:textId="77777777" w:rsidR="0001419A" w:rsidRPr="00A479CC" w:rsidRDefault="0001419A" w:rsidP="000C0F2E">
            <w:pPr>
              <w:pStyle w:val="Isiabstract"/>
              <w:spacing w:after="240" w:line="276" w:lineRule="auto"/>
              <w:rPr>
                <w:rFonts w:ascii="Times New Roman" w:hAnsi="Times New Roman" w:cs="Times New Roman"/>
                <w:i w:val="0"/>
                <w:sz w:val="15"/>
              </w:rPr>
            </w:pPr>
          </w:p>
        </w:tc>
        <w:tc>
          <w:tcPr>
            <w:tcW w:w="3479" w:type="pct"/>
            <w:vMerge/>
            <w:tcBorders>
              <w:bottom w:val="single" w:sz="4" w:space="0" w:color="auto"/>
            </w:tcBorders>
            <w:vAlign w:val="center"/>
          </w:tcPr>
          <w:p w14:paraId="1F2CC2D5" w14:textId="77777777" w:rsidR="0001419A" w:rsidRPr="00A479CC" w:rsidRDefault="0001419A" w:rsidP="000C0F2E">
            <w:pPr>
              <w:pStyle w:val="Isiabstract"/>
              <w:spacing w:after="240" w:line="276" w:lineRule="auto"/>
              <w:rPr>
                <w:rFonts w:ascii="Times New Roman" w:hAnsi="Times New Roman" w:cs="Times New Roman"/>
                <w:i w:val="0"/>
                <w:sz w:val="15"/>
              </w:rPr>
            </w:pPr>
          </w:p>
        </w:tc>
      </w:tr>
    </w:tbl>
    <w:p w14:paraId="4AE176C6" w14:textId="77777777" w:rsidR="000D4738" w:rsidRPr="00421362" w:rsidRDefault="000D4738" w:rsidP="00421362">
      <w:pPr>
        <w:spacing w:before="240" w:after="120" w:line="276" w:lineRule="auto"/>
        <w:jc w:val="both"/>
        <w:rPr>
          <w:b/>
          <w:bCs/>
        </w:rPr>
      </w:pPr>
    </w:p>
    <w:p w14:paraId="021EA914" w14:textId="731AB643" w:rsidR="0031367A" w:rsidRPr="000D2BFE" w:rsidRDefault="0031367A" w:rsidP="006F719B">
      <w:pPr>
        <w:pStyle w:val="ListParagraph"/>
        <w:numPr>
          <w:ilvl w:val="0"/>
          <w:numId w:val="13"/>
        </w:numPr>
        <w:spacing w:before="240" w:after="120" w:line="276" w:lineRule="auto"/>
        <w:ind w:left="360"/>
        <w:contextualSpacing w:val="0"/>
        <w:jc w:val="both"/>
        <w:rPr>
          <w:rFonts w:ascii="Times New Roman" w:hAnsi="Times New Roman" w:cs="Times New Roman"/>
          <w:b/>
          <w:bCs/>
          <w:sz w:val="22"/>
          <w:szCs w:val="22"/>
        </w:rPr>
      </w:pPr>
      <w:r w:rsidRPr="000D2BFE">
        <w:rPr>
          <w:rFonts w:ascii="Times New Roman" w:hAnsi="Times New Roman" w:cs="Times New Roman"/>
          <w:b/>
          <w:bCs/>
          <w:sz w:val="22"/>
          <w:szCs w:val="22"/>
        </w:rPr>
        <w:t>Introduction</w:t>
      </w:r>
    </w:p>
    <w:p w14:paraId="5CCC040C" w14:textId="77777777" w:rsidR="006031E0" w:rsidRDefault="00941ED4" w:rsidP="00941ED4">
      <w:pPr>
        <w:spacing w:after="120" w:line="276" w:lineRule="auto"/>
        <w:ind w:firstLine="360"/>
        <w:jc w:val="both"/>
        <w:rPr>
          <w:color w:val="000000"/>
          <w:sz w:val="22"/>
          <w:szCs w:val="22"/>
        </w:rPr>
        <w:sectPr w:rsidR="006031E0" w:rsidSect="006031E0">
          <w:headerReference w:type="default" r:id="rId13"/>
          <w:headerReference w:type="first" r:id="rId14"/>
          <w:pgSz w:w="11906" w:h="16838"/>
          <w:pgMar w:top="1134" w:right="1134" w:bottom="1134" w:left="1134" w:header="448" w:footer="709" w:gutter="0"/>
          <w:pgNumType w:start="2"/>
          <w:cols w:space="708"/>
          <w:titlePg/>
          <w:docGrid w:linePitch="360"/>
        </w:sectPr>
      </w:pPr>
      <w:r w:rsidRPr="00941ED4">
        <w:rPr>
          <w:color w:val="000000"/>
          <w:sz w:val="22"/>
          <w:szCs w:val="22"/>
        </w:rPr>
        <w:t xml:space="preserve">Brain arteriovenous malformations (AVMs) in the </w:t>
      </w:r>
      <w:proofErr w:type="spellStart"/>
      <w:r w:rsidRPr="00941ED4">
        <w:rPr>
          <w:color w:val="000000"/>
          <w:sz w:val="22"/>
          <w:szCs w:val="22"/>
        </w:rPr>
        <w:t>pediatric</w:t>
      </w:r>
      <w:proofErr w:type="spellEnd"/>
      <w:r w:rsidRPr="00941ED4">
        <w:rPr>
          <w:color w:val="000000"/>
          <w:sz w:val="22"/>
          <w:szCs w:val="22"/>
        </w:rPr>
        <w:t xml:space="preserve"> population tend to present with </w:t>
      </w:r>
      <w:proofErr w:type="spellStart"/>
      <w:r w:rsidRPr="00941ED4">
        <w:rPr>
          <w:color w:val="000000"/>
          <w:sz w:val="22"/>
          <w:szCs w:val="22"/>
        </w:rPr>
        <w:t>hemorrhage</w:t>
      </w:r>
      <w:proofErr w:type="spellEnd"/>
      <w:r w:rsidRPr="00941ED4">
        <w:rPr>
          <w:color w:val="000000"/>
          <w:sz w:val="22"/>
          <w:szCs w:val="22"/>
        </w:rPr>
        <w:t xml:space="preserve">. After rupture, the mortality rate for AVMs is 5% to 10%,  which may be accompanied by a neurological deficit of 30% to 50% and a likelihood of temporary or permanent disability [1]. In patients with cognitive impairments, the rupture of an AVM is not only associated with morbidity or mortality but also with a decline in cognition, speech, mobility, and neurodevelopment in terms of functional strength. It is believed that blood products in the brain parenchyma after an AVM rupture may be cytotoxic, leading to changes in neuronal function and </w:t>
      </w:r>
      <w:proofErr w:type="spellStart"/>
      <w:r w:rsidRPr="00941ED4">
        <w:rPr>
          <w:color w:val="000000"/>
          <w:sz w:val="22"/>
          <w:szCs w:val="22"/>
        </w:rPr>
        <w:t>edema</w:t>
      </w:r>
      <w:proofErr w:type="spellEnd"/>
      <w:r w:rsidRPr="00941ED4">
        <w:rPr>
          <w:color w:val="000000"/>
          <w:sz w:val="22"/>
          <w:szCs w:val="22"/>
        </w:rPr>
        <w:t xml:space="preserve"> of the injured tissue [2]. There are many risk factors that influence the likelihood of </w:t>
      </w:r>
    </w:p>
    <w:p w14:paraId="036CBD71" w14:textId="77777777" w:rsidR="00941ED4" w:rsidRDefault="00941ED4" w:rsidP="006031E0">
      <w:pPr>
        <w:spacing w:after="120" w:line="276" w:lineRule="auto"/>
        <w:jc w:val="both"/>
        <w:rPr>
          <w:rFonts w:eastAsia="Arial"/>
          <w:color w:val="000000"/>
          <w:sz w:val="22"/>
          <w:szCs w:val="22"/>
        </w:rPr>
      </w:pPr>
      <w:r w:rsidRPr="00941ED4">
        <w:rPr>
          <w:color w:val="000000"/>
          <w:sz w:val="22"/>
          <w:szCs w:val="22"/>
        </w:rPr>
        <w:lastRenderedPageBreak/>
        <w:t xml:space="preserve">bleeding, including posterior and deeply located ruptures from AVMs in the deep venous drainage with associated aneurysms [3]. </w:t>
      </w:r>
    </w:p>
    <w:p w14:paraId="492F9247" w14:textId="756A2079" w:rsidR="00941ED4" w:rsidRPr="00941ED4" w:rsidRDefault="00941ED4" w:rsidP="00941ED4">
      <w:pPr>
        <w:spacing w:after="120" w:line="276" w:lineRule="auto"/>
        <w:ind w:firstLine="360"/>
        <w:jc w:val="both"/>
        <w:rPr>
          <w:rFonts w:eastAsia="Arial"/>
          <w:color w:val="000000"/>
          <w:sz w:val="22"/>
          <w:szCs w:val="22"/>
        </w:rPr>
      </w:pPr>
      <w:r w:rsidRPr="00941ED4">
        <w:rPr>
          <w:color w:val="000000"/>
          <w:sz w:val="22"/>
          <w:szCs w:val="22"/>
        </w:rPr>
        <w:t xml:space="preserve">Intracranial arteriovenous malformations occur in 12 to 18% of </w:t>
      </w:r>
      <w:proofErr w:type="spellStart"/>
      <w:r w:rsidRPr="00941ED4">
        <w:rPr>
          <w:color w:val="000000"/>
          <w:sz w:val="22"/>
          <w:szCs w:val="22"/>
        </w:rPr>
        <w:t>pediatric</w:t>
      </w:r>
      <w:proofErr w:type="spellEnd"/>
      <w:r w:rsidRPr="00941ED4">
        <w:rPr>
          <w:color w:val="000000"/>
          <w:sz w:val="22"/>
          <w:szCs w:val="22"/>
        </w:rPr>
        <w:t xml:space="preserve"> patients. The AVMs are associated with </w:t>
      </w:r>
      <w:proofErr w:type="spellStart"/>
      <w:r w:rsidRPr="00941ED4">
        <w:rPr>
          <w:color w:val="000000"/>
          <w:sz w:val="22"/>
          <w:szCs w:val="22"/>
        </w:rPr>
        <w:t>hemorrhagic</w:t>
      </w:r>
      <w:proofErr w:type="spellEnd"/>
      <w:r w:rsidRPr="00941ED4">
        <w:rPr>
          <w:color w:val="000000"/>
          <w:sz w:val="22"/>
          <w:szCs w:val="22"/>
        </w:rPr>
        <w:t xml:space="preserve"> strokes in 35-55% of the population, and the incidence is 1 to 4 per 100,000 of the population. The mortality rates increase from 25% by the mid-1940s  to 39% by now. According  to modern technology, the annual risk of AVM bleeding due to rupture in the </w:t>
      </w:r>
      <w:proofErr w:type="spellStart"/>
      <w:r w:rsidRPr="00941ED4">
        <w:rPr>
          <w:color w:val="000000"/>
          <w:sz w:val="22"/>
          <w:szCs w:val="22"/>
        </w:rPr>
        <w:t>pediatric</w:t>
      </w:r>
      <w:proofErr w:type="spellEnd"/>
      <w:r w:rsidRPr="00941ED4">
        <w:rPr>
          <w:color w:val="000000"/>
          <w:sz w:val="22"/>
          <w:szCs w:val="22"/>
        </w:rPr>
        <w:t xml:space="preserve"> population is 2.7%, which is increasing due to the association with aneurysms and deep</w:t>
      </w:r>
      <w:r>
        <w:rPr>
          <w:color w:val="000000"/>
          <w:sz w:val="22"/>
          <w:szCs w:val="22"/>
        </w:rPr>
        <w:t xml:space="preserve"> </w:t>
      </w:r>
      <w:r w:rsidRPr="00941ED4">
        <w:rPr>
          <w:color w:val="000000"/>
          <w:sz w:val="22"/>
          <w:szCs w:val="22"/>
        </w:rPr>
        <w:t>venous drainage [4].</w:t>
      </w:r>
      <w:r>
        <w:rPr>
          <w:color w:val="000000"/>
          <w:sz w:val="22"/>
          <w:szCs w:val="22"/>
        </w:rPr>
        <w:t xml:space="preserve"> </w:t>
      </w:r>
    </w:p>
    <w:p w14:paraId="1F93AF52" w14:textId="3D24D5EC" w:rsidR="00735117" w:rsidRPr="00941ED4" w:rsidRDefault="00941ED4" w:rsidP="00941ED4">
      <w:pPr>
        <w:spacing w:line="276" w:lineRule="auto"/>
        <w:ind w:firstLine="360"/>
        <w:jc w:val="both"/>
        <w:rPr>
          <w:sz w:val="22"/>
          <w:szCs w:val="22"/>
        </w:rPr>
      </w:pPr>
      <w:r w:rsidRPr="00941ED4">
        <w:rPr>
          <w:color w:val="000000"/>
          <w:sz w:val="22"/>
          <w:szCs w:val="22"/>
        </w:rPr>
        <w:t xml:space="preserve">Effective treatment of an AVM is achieved by eliminating the arteriovenous shunt as an angiographic procedure, which is associated with low risk. The best outcome is achieved by surgical excision of the tangled AVM, with complete endovascular embolization of the nidus and </w:t>
      </w:r>
      <w:proofErr w:type="spellStart"/>
      <w:r w:rsidRPr="00941ED4">
        <w:rPr>
          <w:color w:val="000000"/>
          <w:sz w:val="22"/>
          <w:szCs w:val="22"/>
        </w:rPr>
        <w:t>radiosurgical</w:t>
      </w:r>
      <w:proofErr w:type="spellEnd"/>
      <w:r w:rsidRPr="00941ED4">
        <w:rPr>
          <w:color w:val="000000"/>
          <w:sz w:val="22"/>
          <w:szCs w:val="22"/>
        </w:rPr>
        <w:t xml:space="preserve"> </w:t>
      </w:r>
      <w:proofErr w:type="spellStart"/>
      <w:r w:rsidRPr="00941ED4">
        <w:rPr>
          <w:color w:val="000000"/>
          <w:sz w:val="22"/>
          <w:szCs w:val="22"/>
        </w:rPr>
        <w:t>thromboobliteration</w:t>
      </w:r>
      <w:proofErr w:type="spellEnd"/>
      <w:r w:rsidRPr="00941ED4">
        <w:rPr>
          <w:color w:val="000000"/>
          <w:sz w:val="22"/>
          <w:szCs w:val="22"/>
        </w:rPr>
        <w:t xml:space="preserve"> of all mobilities. However, 18% are considered untreatable in the </w:t>
      </w:r>
      <w:proofErr w:type="spellStart"/>
      <w:r w:rsidRPr="00941ED4">
        <w:rPr>
          <w:color w:val="000000"/>
          <w:sz w:val="22"/>
          <w:szCs w:val="22"/>
        </w:rPr>
        <w:t>pediatric</w:t>
      </w:r>
      <w:proofErr w:type="spellEnd"/>
      <w:r w:rsidRPr="00941ED4">
        <w:rPr>
          <w:color w:val="000000"/>
          <w:sz w:val="22"/>
          <w:szCs w:val="22"/>
        </w:rPr>
        <w:t xml:space="preserve"> population [5].  The aim of these case studies was to demonstrate how the removal of AVMs is of surgical importance and how the elimination of AVMs requires adaptation due to their complexity.</w:t>
      </w:r>
    </w:p>
    <w:p w14:paraId="68E042C9" w14:textId="294565D5" w:rsidR="006D502F" w:rsidRPr="00735117" w:rsidRDefault="00735117" w:rsidP="00735117">
      <w:pPr>
        <w:pStyle w:val="ListParagraph"/>
        <w:numPr>
          <w:ilvl w:val="0"/>
          <w:numId w:val="13"/>
        </w:numPr>
        <w:spacing w:before="240" w:after="120" w:line="276" w:lineRule="auto"/>
        <w:ind w:left="360"/>
        <w:contextualSpacing w:val="0"/>
        <w:jc w:val="both"/>
        <w:rPr>
          <w:rFonts w:ascii="Times New Roman" w:hAnsi="Times New Roman" w:cs="Times New Roman"/>
          <w:b/>
          <w:bCs/>
          <w:sz w:val="22"/>
          <w:szCs w:val="22"/>
        </w:rPr>
      </w:pPr>
      <w:bookmarkStart w:id="0" w:name="_Hlk145356043"/>
      <w:r>
        <w:rPr>
          <w:rFonts w:ascii="Times New Roman" w:hAnsi="Times New Roman" w:cs="Times New Roman"/>
          <w:b/>
          <w:bCs/>
          <w:sz w:val="22"/>
          <w:szCs w:val="22"/>
        </w:rPr>
        <w:t>Case Presentation</w:t>
      </w:r>
    </w:p>
    <w:p w14:paraId="654F8EA1" w14:textId="3A94F0D8" w:rsidR="00F8576B" w:rsidRDefault="00941ED4" w:rsidP="00735117">
      <w:pPr>
        <w:spacing w:line="276" w:lineRule="auto"/>
        <w:ind w:firstLine="360"/>
        <w:jc w:val="both"/>
        <w:rPr>
          <w:sz w:val="22"/>
          <w:szCs w:val="22"/>
        </w:rPr>
      </w:pPr>
      <w:r w:rsidRPr="00941ED4">
        <w:rPr>
          <w:sz w:val="22"/>
          <w:szCs w:val="22"/>
        </w:rPr>
        <w:t xml:space="preserve">After returning home from school, an 11-year-old boy complained of isolated headaches and an episode of vomiting. Shortly thereafter, he developed lethargy, slurred speech, and pain and numbness in his left upper and lower extremities. He was brought to our healthcare facility, </w:t>
      </w:r>
      <w:proofErr w:type="spellStart"/>
      <w:r w:rsidRPr="00941ED4">
        <w:rPr>
          <w:sz w:val="22"/>
          <w:szCs w:val="22"/>
        </w:rPr>
        <w:t>Morozovskaya</w:t>
      </w:r>
      <w:proofErr w:type="spellEnd"/>
      <w:r w:rsidRPr="00941ED4">
        <w:rPr>
          <w:sz w:val="22"/>
          <w:szCs w:val="22"/>
        </w:rPr>
        <w:t xml:space="preserve"> Children's Hospital, via the emergency department, complaining of weakness in his left upper extremity. Upon arrival, the patient was transferred to the intensive care unit (ICU in critical condition. His physical examination revealed a temperature of 36.6°C, a BMI of 16.3 kg/m², a weight of 32 kg, and a height of 140 cm. The following day, after CT and MRI scans, the preoperative diagnosis was arteriovenous lesion of the right forebrain artery and primary AVM of the anterior cerebral artery (Figure 1a). Surgery has been postponed to one month later due to the operating room being busy. We performed endovascular embolization of the AVM. Under general </w:t>
      </w:r>
      <w:proofErr w:type="spellStart"/>
      <w:r w:rsidRPr="00941ED4">
        <w:rPr>
          <w:sz w:val="22"/>
          <w:szCs w:val="22"/>
        </w:rPr>
        <w:t>anesthesia</w:t>
      </w:r>
      <w:proofErr w:type="spellEnd"/>
      <w:r w:rsidRPr="00941ED4">
        <w:rPr>
          <w:sz w:val="22"/>
          <w:szCs w:val="22"/>
        </w:rPr>
        <w:t xml:space="preserve">, the right common femoral artery was punctured and a 6F sheath was placed. A FARGOMAX 6F guiding catheter was inserted into the right internal carotid artery. Endovascular embolization with </w:t>
      </w:r>
      <w:proofErr w:type="spellStart"/>
      <w:r w:rsidRPr="00941ED4">
        <w:rPr>
          <w:sz w:val="22"/>
          <w:szCs w:val="22"/>
        </w:rPr>
        <w:t>microcoils</w:t>
      </w:r>
      <w:proofErr w:type="spellEnd"/>
      <w:r w:rsidRPr="00941ED4">
        <w:rPr>
          <w:sz w:val="22"/>
          <w:szCs w:val="22"/>
        </w:rPr>
        <w:t xml:space="preserve"> was performed on the AVM in the right parietal region using selective catheterization over the </w:t>
      </w:r>
      <w:proofErr w:type="spellStart"/>
      <w:r w:rsidRPr="00941ED4">
        <w:rPr>
          <w:sz w:val="22"/>
          <w:szCs w:val="22"/>
        </w:rPr>
        <w:t>microguidewire</w:t>
      </w:r>
      <w:proofErr w:type="spellEnd"/>
      <w:r w:rsidRPr="00941ED4">
        <w:rPr>
          <w:sz w:val="22"/>
          <w:szCs w:val="22"/>
        </w:rPr>
        <w:t xml:space="preserve"> with a 1.5F Apollo microcatheter. The AVM was embolized with a vial of SQUID-1. Follow-up angiography showed complete occlusion of the AVM. The catheter and sheath were removed. Digital </w:t>
      </w:r>
      <w:proofErr w:type="spellStart"/>
      <w:r w:rsidRPr="00941ED4">
        <w:rPr>
          <w:sz w:val="22"/>
          <w:szCs w:val="22"/>
        </w:rPr>
        <w:t>hemostasis</w:t>
      </w:r>
      <w:proofErr w:type="spellEnd"/>
      <w:r w:rsidRPr="00941ED4">
        <w:rPr>
          <w:sz w:val="22"/>
          <w:szCs w:val="22"/>
        </w:rPr>
        <w:t xml:space="preserve"> was achieved at the puncture site of the right common femoral artery. Postoperatively, the signs of inflammation, consistent drainage from the </w:t>
      </w:r>
      <w:proofErr w:type="spellStart"/>
      <w:r w:rsidRPr="00941ED4">
        <w:rPr>
          <w:sz w:val="22"/>
          <w:szCs w:val="22"/>
        </w:rPr>
        <w:t>cervico</w:t>
      </w:r>
      <w:proofErr w:type="spellEnd"/>
      <w:r w:rsidRPr="00941ED4">
        <w:rPr>
          <w:sz w:val="22"/>
          <w:szCs w:val="22"/>
        </w:rPr>
        <w:t xml:space="preserve">-occipital region, trophic changes, absence of signs of infection, and resolution of the </w:t>
      </w:r>
      <w:proofErr w:type="spellStart"/>
      <w:r w:rsidRPr="00941ED4">
        <w:rPr>
          <w:sz w:val="22"/>
          <w:szCs w:val="22"/>
        </w:rPr>
        <w:t>hemorrhagic</w:t>
      </w:r>
      <w:proofErr w:type="spellEnd"/>
      <w:r w:rsidRPr="00941ED4">
        <w:rPr>
          <w:sz w:val="22"/>
          <w:szCs w:val="22"/>
        </w:rPr>
        <w:t xml:space="preserve"> phase were observed. Furthermore, under neurophysiological monitoring, pain was noted. During follow-up in the ICU, after the first week, the patient showed improved sensation in the left upper and lower extremities during rounds, which was a positive sign during the physical examination. `The last postoperative day, the patient did not experience any further complications and a positive dynamic was achieved, with no AVM observed in the right forebrain on the follow-up image; it was decided to continue the patient under conservative treatment and discharge them with treatment (Figure 1b)</w:t>
      </w:r>
      <w:r>
        <w:rPr>
          <w:sz w:val="22"/>
          <w:szCs w:val="22"/>
        </w:rPr>
        <w:t>.</w:t>
      </w:r>
    </w:p>
    <w:p w14:paraId="333EA429" w14:textId="77777777" w:rsidR="00941ED4" w:rsidRDefault="00941ED4" w:rsidP="00941ED4">
      <w:pPr>
        <w:spacing w:line="276" w:lineRule="auto"/>
        <w:jc w:val="both"/>
        <w:rPr>
          <w:sz w:val="22"/>
          <w:szCs w:val="22"/>
        </w:rPr>
      </w:pPr>
    </w:p>
    <w:p w14:paraId="68BF6B57" w14:textId="77777777" w:rsidR="00941ED4" w:rsidRDefault="00941ED4" w:rsidP="00941ED4">
      <w:pPr>
        <w:keepNext/>
        <w:spacing w:line="276" w:lineRule="auto"/>
        <w:jc w:val="center"/>
      </w:pPr>
      <w:r>
        <w:rPr>
          <w:noProof/>
        </w:rPr>
        <w:drawing>
          <wp:inline distT="0" distB="0" distL="0" distR="0" wp14:anchorId="1CBE0FFA" wp14:editId="58DC9CE5">
            <wp:extent cx="3187449" cy="1573530"/>
            <wp:effectExtent l="0" t="0" r="0" b="7620"/>
            <wp:docPr id="1677327631" name="Imagem 1" descr="C:\Users\Rodrigo\Downloads\1.0 - Daniel A 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Users\Rodrigo\Downloads\1.0 - Daniel A ES..jpg"/>
                    <pic:cNvPicPr>
                      <a:picLocks noChangeAspect="1"/>
                    </pic:cNvPicPr>
                  </pic:nvPicPr>
                  <pic:blipFill>
                    <a:blip r:embed="rId15"/>
                    <a:stretch>
                      <a:fillRect/>
                    </a:stretch>
                  </pic:blipFill>
                  <pic:spPr>
                    <a:xfrm>
                      <a:off x="0" y="0"/>
                      <a:ext cx="3262979" cy="1610817"/>
                    </a:xfrm>
                    <a:prstGeom prst="rect">
                      <a:avLst/>
                    </a:prstGeom>
                    <a:noFill/>
                    <a:ln>
                      <a:noFill/>
                    </a:ln>
                  </pic:spPr>
                </pic:pic>
              </a:graphicData>
            </a:graphic>
          </wp:inline>
        </w:drawing>
      </w:r>
    </w:p>
    <w:p w14:paraId="62541074" w14:textId="375D14FE" w:rsidR="00735117" w:rsidRPr="006031E0" w:rsidRDefault="00941ED4" w:rsidP="006031E0">
      <w:pPr>
        <w:pStyle w:val="Caption"/>
        <w:jc w:val="both"/>
        <w:rPr>
          <w:i w:val="0"/>
          <w:iCs w:val="0"/>
          <w:color w:val="000000" w:themeColor="text1"/>
          <w:sz w:val="16"/>
          <w:szCs w:val="16"/>
        </w:rPr>
      </w:pPr>
      <w:r w:rsidRPr="00941ED4">
        <w:rPr>
          <w:i w:val="0"/>
          <w:iCs w:val="0"/>
          <w:color w:val="000000" w:themeColor="text1"/>
          <w:sz w:val="16"/>
          <w:szCs w:val="16"/>
        </w:rPr>
        <w:t xml:space="preserve">Figure </w:t>
      </w:r>
      <w:r w:rsidRPr="00941ED4">
        <w:rPr>
          <w:i w:val="0"/>
          <w:iCs w:val="0"/>
          <w:color w:val="000000" w:themeColor="text1"/>
          <w:sz w:val="16"/>
          <w:szCs w:val="16"/>
        </w:rPr>
        <w:fldChar w:fldCharType="begin"/>
      </w:r>
      <w:r w:rsidRPr="00941ED4">
        <w:rPr>
          <w:i w:val="0"/>
          <w:iCs w:val="0"/>
          <w:color w:val="000000" w:themeColor="text1"/>
          <w:sz w:val="16"/>
          <w:szCs w:val="16"/>
        </w:rPr>
        <w:instrText xml:space="preserve"> SEQ Figure \* ARABIC </w:instrText>
      </w:r>
      <w:r w:rsidRPr="00941ED4">
        <w:rPr>
          <w:i w:val="0"/>
          <w:iCs w:val="0"/>
          <w:color w:val="000000" w:themeColor="text1"/>
          <w:sz w:val="16"/>
          <w:szCs w:val="16"/>
        </w:rPr>
        <w:fldChar w:fldCharType="separate"/>
      </w:r>
      <w:r w:rsidRPr="00941ED4">
        <w:rPr>
          <w:i w:val="0"/>
          <w:iCs w:val="0"/>
          <w:noProof/>
          <w:color w:val="000000" w:themeColor="text1"/>
          <w:sz w:val="16"/>
          <w:szCs w:val="16"/>
        </w:rPr>
        <w:t>1</w:t>
      </w:r>
      <w:r w:rsidRPr="00941ED4">
        <w:rPr>
          <w:i w:val="0"/>
          <w:iCs w:val="0"/>
          <w:color w:val="000000" w:themeColor="text1"/>
          <w:sz w:val="16"/>
          <w:szCs w:val="16"/>
        </w:rPr>
        <w:fldChar w:fldCharType="end"/>
      </w:r>
      <w:r w:rsidRPr="00941ED4">
        <w:rPr>
          <w:i w:val="0"/>
          <w:iCs w:val="0"/>
          <w:color w:val="000000" w:themeColor="text1"/>
          <w:sz w:val="16"/>
          <w:szCs w:val="16"/>
        </w:rPr>
        <w:t xml:space="preserve">. </w:t>
      </w:r>
      <w:r>
        <w:rPr>
          <w:i w:val="0"/>
          <w:iCs w:val="0"/>
          <w:color w:val="000000" w:themeColor="text1"/>
          <w:sz w:val="16"/>
          <w:szCs w:val="16"/>
        </w:rPr>
        <w:t>(</w:t>
      </w:r>
      <w:r w:rsidRPr="00941ED4">
        <w:rPr>
          <w:i w:val="0"/>
          <w:iCs w:val="0"/>
          <w:color w:val="000000" w:themeColor="text1"/>
          <w:sz w:val="16"/>
          <w:szCs w:val="16"/>
        </w:rPr>
        <w:t>a) Preoperative angiography of the arteriovenous malformation (AVM) shown by the red arrow</w:t>
      </w:r>
      <w:r>
        <w:rPr>
          <w:i w:val="0"/>
          <w:iCs w:val="0"/>
          <w:color w:val="000000" w:themeColor="text1"/>
          <w:sz w:val="16"/>
          <w:szCs w:val="16"/>
        </w:rPr>
        <w:t>; (</w:t>
      </w:r>
      <w:r w:rsidRPr="00941ED4">
        <w:rPr>
          <w:i w:val="0"/>
          <w:iCs w:val="0"/>
          <w:color w:val="000000" w:themeColor="text1"/>
          <w:sz w:val="16"/>
          <w:szCs w:val="16"/>
        </w:rPr>
        <w:t xml:space="preserve">b) Postoperative image of the AVM nidus, no </w:t>
      </w:r>
      <w:proofErr w:type="spellStart"/>
      <w:r w:rsidRPr="00941ED4">
        <w:rPr>
          <w:i w:val="0"/>
          <w:iCs w:val="0"/>
          <w:color w:val="000000" w:themeColor="text1"/>
          <w:sz w:val="16"/>
          <w:szCs w:val="16"/>
        </w:rPr>
        <w:t>funtional</w:t>
      </w:r>
      <w:proofErr w:type="spellEnd"/>
      <w:r w:rsidRPr="00941ED4">
        <w:rPr>
          <w:i w:val="0"/>
          <w:iCs w:val="0"/>
          <w:color w:val="000000" w:themeColor="text1"/>
          <w:sz w:val="16"/>
          <w:szCs w:val="16"/>
        </w:rPr>
        <w:t xml:space="preserve"> after embolization,  shown by the green arrow</w:t>
      </w:r>
    </w:p>
    <w:bookmarkEnd w:id="0"/>
    <w:p w14:paraId="45A9D990" w14:textId="0F48E248" w:rsidR="00502661" w:rsidRDefault="00735117" w:rsidP="00735117">
      <w:pPr>
        <w:pStyle w:val="ListParagraph"/>
        <w:numPr>
          <w:ilvl w:val="0"/>
          <w:numId w:val="18"/>
        </w:numPr>
        <w:spacing w:before="240" w:after="120" w:line="276" w:lineRule="auto"/>
        <w:ind w:left="360"/>
        <w:contextualSpacing w:val="0"/>
        <w:jc w:val="both"/>
        <w:rPr>
          <w:rFonts w:ascii="Times New Roman" w:hAnsi="Times New Roman" w:cs="Times New Roman"/>
          <w:b/>
          <w:bCs/>
          <w:sz w:val="22"/>
          <w:szCs w:val="22"/>
        </w:rPr>
      </w:pPr>
      <w:r>
        <w:rPr>
          <w:rFonts w:ascii="Times New Roman" w:hAnsi="Times New Roman" w:cs="Times New Roman"/>
          <w:b/>
          <w:bCs/>
          <w:sz w:val="22"/>
          <w:szCs w:val="22"/>
        </w:rPr>
        <w:lastRenderedPageBreak/>
        <w:t>Discussion</w:t>
      </w:r>
    </w:p>
    <w:p w14:paraId="060270C9" w14:textId="73CD7C89" w:rsidR="00941ED4" w:rsidRPr="00941ED4" w:rsidRDefault="00941ED4" w:rsidP="00941ED4">
      <w:pPr>
        <w:spacing w:after="120"/>
        <w:ind w:firstLine="360"/>
        <w:jc w:val="both"/>
        <w:rPr>
          <w:rFonts w:eastAsia="Arial"/>
          <w:sz w:val="22"/>
          <w:szCs w:val="22"/>
        </w:rPr>
      </w:pPr>
      <w:r w:rsidRPr="00941ED4">
        <w:rPr>
          <w:color w:val="000000"/>
          <w:sz w:val="22"/>
          <w:szCs w:val="22"/>
        </w:rPr>
        <w:t>AVMs are malformations consistent with high flow and low resistance. They deviate from capillary networks, leading to tortuous formations and coils of nests.</w:t>
      </w:r>
      <w:r>
        <w:rPr>
          <w:color w:val="000000"/>
          <w:sz w:val="22"/>
          <w:szCs w:val="22"/>
        </w:rPr>
        <w:t xml:space="preserve"> </w:t>
      </w:r>
      <w:r w:rsidRPr="00941ED4">
        <w:rPr>
          <w:color w:val="000000"/>
          <w:sz w:val="22"/>
          <w:szCs w:val="22"/>
        </w:rPr>
        <w:t xml:space="preserve">While the parenchymal structures of AVMs are stained with </w:t>
      </w:r>
      <w:proofErr w:type="spellStart"/>
      <w:r w:rsidRPr="00941ED4">
        <w:rPr>
          <w:color w:val="000000"/>
          <w:sz w:val="22"/>
          <w:szCs w:val="22"/>
        </w:rPr>
        <w:t>hemosiderins</w:t>
      </w:r>
      <w:proofErr w:type="spellEnd"/>
      <w:r w:rsidRPr="00941ED4">
        <w:rPr>
          <w:color w:val="000000"/>
          <w:sz w:val="22"/>
          <w:szCs w:val="22"/>
        </w:rPr>
        <w:t xml:space="preserve">, they are </w:t>
      </w:r>
      <w:proofErr w:type="spellStart"/>
      <w:r w:rsidRPr="00941ED4">
        <w:rPr>
          <w:color w:val="000000"/>
          <w:sz w:val="22"/>
          <w:szCs w:val="22"/>
        </w:rPr>
        <w:t>nonfunctional</w:t>
      </w:r>
      <w:proofErr w:type="spellEnd"/>
      <w:r w:rsidRPr="00941ED4">
        <w:rPr>
          <w:color w:val="000000"/>
          <w:sz w:val="22"/>
          <w:szCs w:val="22"/>
        </w:rPr>
        <w:t xml:space="preserve"> and gliotic. AVMs can be diagnosed after rupture. MRI with MR angiography is essential for localizing the AVM and for developing a treatment plan. Conventional cerebral angiography will include angiography of the external carotid artery.</w:t>
      </w:r>
      <w:r>
        <w:rPr>
          <w:color w:val="000000"/>
          <w:sz w:val="22"/>
          <w:szCs w:val="22"/>
        </w:rPr>
        <w:t xml:space="preserve"> </w:t>
      </w:r>
      <w:r w:rsidRPr="00941ED4">
        <w:rPr>
          <w:color w:val="000000"/>
          <w:sz w:val="22"/>
          <w:szCs w:val="22"/>
        </w:rPr>
        <w:t>It offers superior imaging capabilities compared to other imaging techniques due to the size, location, feeding vessels such as draining veins, location of the nidus, and vascular lesions</w:t>
      </w:r>
      <w:r>
        <w:rPr>
          <w:color w:val="000000"/>
          <w:sz w:val="22"/>
          <w:szCs w:val="22"/>
        </w:rPr>
        <w:t xml:space="preserve"> </w:t>
      </w:r>
      <w:r w:rsidRPr="00941ED4">
        <w:rPr>
          <w:color w:val="000000"/>
          <w:sz w:val="22"/>
          <w:szCs w:val="22"/>
        </w:rPr>
        <w:t>[6</w:t>
      </w:r>
      <w:r>
        <w:rPr>
          <w:color w:val="000000"/>
          <w:sz w:val="22"/>
          <w:szCs w:val="22"/>
        </w:rPr>
        <w:t>].</w:t>
      </w:r>
    </w:p>
    <w:p w14:paraId="5FCC31C0" w14:textId="35B004CD" w:rsidR="00941ED4" w:rsidRPr="00941ED4" w:rsidRDefault="00941ED4" w:rsidP="00941ED4">
      <w:pPr>
        <w:pStyle w:val="ListParagraph"/>
        <w:numPr>
          <w:ilvl w:val="1"/>
          <w:numId w:val="18"/>
        </w:numPr>
        <w:spacing w:before="240" w:after="120" w:line="276" w:lineRule="auto"/>
        <w:ind w:left="450"/>
        <w:contextualSpacing w:val="0"/>
        <w:jc w:val="both"/>
        <w:rPr>
          <w:rFonts w:ascii="Times New Roman" w:hAnsi="Times New Roman" w:cs="Times New Roman"/>
          <w:b/>
          <w:bCs/>
          <w:sz w:val="22"/>
          <w:szCs w:val="22"/>
        </w:rPr>
      </w:pPr>
      <w:proofErr w:type="spellStart"/>
      <w:r>
        <w:rPr>
          <w:rFonts w:ascii="Times New Roman" w:hAnsi="Times New Roman" w:cs="Times New Roman"/>
          <w:b/>
          <w:bCs/>
          <w:sz w:val="22"/>
          <w:szCs w:val="22"/>
        </w:rPr>
        <w:t>Pediatric</w:t>
      </w:r>
      <w:proofErr w:type="spellEnd"/>
      <w:r>
        <w:rPr>
          <w:rFonts w:ascii="Times New Roman" w:hAnsi="Times New Roman" w:cs="Times New Roman"/>
          <w:b/>
          <w:bCs/>
          <w:sz w:val="22"/>
          <w:szCs w:val="22"/>
        </w:rPr>
        <w:t xml:space="preserve"> AVM Rupture Rates</w:t>
      </w:r>
    </w:p>
    <w:p w14:paraId="034B5022" w14:textId="224A6B1B" w:rsidR="00941ED4" w:rsidRPr="00941ED4" w:rsidRDefault="00941ED4" w:rsidP="00941ED4">
      <w:pPr>
        <w:spacing w:after="120" w:line="276" w:lineRule="auto"/>
        <w:ind w:firstLine="450"/>
        <w:jc w:val="both"/>
        <w:rPr>
          <w:rFonts w:eastAsia="Arial"/>
          <w:sz w:val="22"/>
          <w:szCs w:val="22"/>
        </w:rPr>
      </w:pPr>
      <w:r w:rsidRPr="00941ED4">
        <w:rPr>
          <w:color w:val="000000"/>
          <w:sz w:val="22"/>
          <w:szCs w:val="22"/>
        </w:rPr>
        <w:t xml:space="preserve">Cerebral AVMs are congenital vascular lesions with abnormal veins that connect directly without an intervening capillary bed, resulting in an arteriovenous shunt. The annual </w:t>
      </w:r>
      <w:proofErr w:type="spellStart"/>
      <w:r w:rsidRPr="00941ED4">
        <w:rPr>
          <w:color w:val="000000"/>
          <w:sz w:val="22"/>
          <w:szCs w:val="22"/>
        </w:rPr>
        <w:t>hemorrhage</w:t>
      </w:r>
      <w:proofErr w:type="spellEnd"/>
      <w:r w:rsidRPr="00941ED4">
        <w:rPr>
          <w:color w:val="000000"/>
          <w:sz w:val="22"/>
          <w:szCs w:val="22"/>
        </w:rPr>
        <w:t xml:space="preserve"> rate from AVMs is 3%. Of these, 4.5% are ruptured AVMs and 2.2% are unruptured. When AVMs rupture, they cause intracranial </w:t>
      </w:r>
      <w:proofErr w:type="spellStart"/>
      <w:r w:rsidRPr="00941ED4">
        <w:rPr>
          <w:color w:val="000000"/>
          <w:sz w:val="22"/>
          <w:szCs w:val="22"/>
        </w:rPr>
        <w:t>hemorrhage</w:t>
      </w:r>
      <w:proofErr w:type="spellEnd"/>
      <w:r w:rsidRPr="00941ED4">
        <w:rPr>
          <w:color w:val="000000"/>
          <w:sz w:val="22"/>
          <w:szCs w:val="22"/>
        </w:rPr>
        <w:t xml:space="preserve">, which can be fatal, with morbidity rates between 30% and 50% in patients with this type of vascular lesion. </w:t>
      </w:r>
      <w:proofErr w:type="spellStart"/>
      <w:r w:rsidRPr="00941ED4">
        <w:rPr>
          <w:color w:val="000000"/>
          <w:sz w:val="22"/>
          <w:szCs w:val="22"/>
        </w:rPr>
        <w:t>Pediatric</w:t>
      </w:r>
      <w:proofErr w:type="spellEnd"/>
      <w:r w:rsidRPr="00941ED4">
        <w:rPr>
          <w:color w:val="000000"/>
          <w:sz w:val="22"/>
          <w:szCs w:val="22"/>
        </w:rPr>
        <w:t xml:space="preserve"> AVMs account for 12-18% of all AVM cases</w:t>
      </w:r>
      <w:r>
        <w:rPr>
          <w:color w:val="000000"/>
          <w:sz w:val="22"/>
          <w:szCs w:val="22"/>
        </w:rPr>
        <w:t xml:space="preserve"> </w:t>
      </w:r>
      <w:r w:rsidRPr="00941ED4">
        <w:rPr>
          <w:color w:val="000000"/>
          <w:sz w:val="22"/>
          <w:szCs w:val="22"/>
        </w:rPr>
        <w:t>[7].</w:t>
      </w:r>
    </w:p>
    <w:p w14:paraId="2CE02202" w14:textId="7B4DCE90" w:rsidR="00735117" w:rsidRDefault="00941ED4" w:rsidP="00941ED4">
      <w:pPr>
        <w:spacing w:line="276" w:lineRule="auto"/>
        <w:ind w:firstLine="450"/>
        <w:jc w:val="both"/>
        <w:rPr>
          <w:color w:val="000000"/>
          <w:sz w:val="22"/>
          <w:szCs w:val="22"/>
        </w:rPr>
      </w:pPr>
      <w:r w:rsidRPr="00941ED4">
        <w:rPr>
          <w:color w:val="000000"/>
          <w:sz w:val="22"/>
          <w:szCs w:val="22"/>
        </w:rPr>
        <w:t xml:space="preserve">It is believed that an AVM in a 15-year-old carries an inherent risk of </w:t>
      </w:r>
      <w:proofErr w:type="spellStart"/>
      <w:r w:rsidRPr="00941ED4">
        <w:rPr>
          <w:color w:val="000000"/>
          <w:sz w:val="22"/>
          <w:szCs w:val="22"/>
        </w:rPr>
        <w:t>hemorrhage</w:t>
      </w:r>
      <w:proofErr w:type="spellEnd"/>
      <w:r w:rsidRPr="00941ED4">
        <w:rPr>
          <w:color w:val="000000"/>
          <w:sz w:val="22"/>
          <w:szCs w:val="22"/>
        </w:rPr>
        <w:t xml:space="preserve">. The extent of an intracranial </w:t>
      </w:r>
      <w:proofErr w:type="spellStart"/>
      <w:r w:rsidRPr="00941ED4">
        <w:rPr>
          <w:color w:val="000000"/>
          <w:sz w:val="22"/>
          <w:szCs w:val="22"/>
        </w:rPr>
        <w:t>hemorrhage</w:t>
      </w:r>
      <w:proofErr w:type="spellEnd"/>
      <w:r w:rsidRPr="00941ED4">
        <w:rPr>
          <w:color w:val="000000"/>
          <w:sz w:val="22"/>
          <w:szCs w:val="22"/>
        </w:rPr>
        <w:t xml:space="preserve"> (ICH) will be assessed semi-quantitatively using the modified </w:t>
      </w:r>
      <w:proofErr w:type="spellStart"/>
      <w:r w:rsidRPr="00941ED4">
        <w:rPr>
          <w:color w:val="000000"/>
          <w:sz w:val="22"/>
          <w:szCs w:val="22"/>
        </w:rPr>
        <w:t>Graeb</w:t>
      </w:r>
      <w:proofErr w:type="spellEnd"/>
      <w:r w:rsidRPr="00941ED4">
        <w:rPr>
          <w:color w:val="000000"/>
          <w:sz w:val="22"/>
          <w:szCs w:val="22"/>
        </w:rPr>
        <w:t xml:space="preserve"> score scale, which will range from 0 to 32, depending on the distribution and magnitude of the ICH with the ventricular dilatation. The </w:t>
      </w:r>
      <w:proofErr w:type="spellStart"/>
      <w:r w:rsidRPr="00941ED4">
        <w:rPr>
          <w:color w:val="000000"/>
          <w:sz w:val="22"/>
          <w:szCs w:val="22"/>
        </w:rPr>
        <w:t>Spetzler</w:t>
      </w:r>
      <w:proofErr w:type="spellEnd"/>
      <w:r w:rsidRPr="00941ED4">
        <w:rPr>
          <w:color w:val="000000"/>
          <w:sz w:val="22"/>
          <w:szCs w:val="22"/>
        </w:rPr>
        <w:t xml:space="preserve"> and Ponce classification is divided into several groups: class A (</w:t>
      </w:r>
      <w:proofErr w:type="spellStart"/>
      <w:r w:rsidRPr="00941ED4">
        <w:rPr>
          <w:color w:val="000000"/>
          <w:sz w:val="22"/>
          <w:szCs w:val="22"/>
        </w:rPr>
        <w:t>Spetzler</w:t>
      </w:r>
      <w:proofErr w:type="spellEnd"/>
      <w:r w:rsidRPr="00941ED4">
        <w:rPr>
          <w:color w:val="000000"/>
          <w:sz w:val="22"/>
          <w:szCs w:val="22"/>
        </w:rPr>
        <w:t>-Martin grades I and II), class B (</w:t>
      </w:r>
      <w:proofErr w:type="spellStart"/>
      <w:r w:rsidRPr="00941ED4">
        <w:rPr>
          <w:color w:val="000000"/>
          <w:sz w:val="22"/>
          <w:szCs w:val="22"/>
        </w:rPr>
        <w:t>Spetzler</w:t>
      </w:r>
      <w:proofErr w:type="spellEnd"/>
      <w:r w:rsidRPr="00941ED4">
        <w:rPr>
          <w:color w:val="000000"/>
          <w:sz w:val="22"/>
          <w:szCs w:val="22"/>
        </w:rPr>
        <w:t>-Martin grade III), and class C (</w:t>
      </w:r>
      <w:proofErr w:type="spellStart"/>
      <w:r w:rsidRPr="00941ED4">
        <w:rPr>
          <w:color w:val="000000"/>
          <w:sz w:val="22"/>
          <w:szCs w:val="22"/>
        </w:rPr>
        <w:t>Spetzler</w:t>
      </w:r>
      <w:proofErr w:type="spellEnd"/>
      <w:r w:rsidRPr="00941ED4">
        <w:rPr>
          <w:color w:val="000000"/>
          <w:sz w:val="22"/>
          <w:szCs w:val="22"/>
        </w:rPr>
        <w:t xml:space="preserve">-Martin grades IV and V). Regarding </w:t>
      </w:r>
      <w:proofErr w:type="spellStart"/>
      <w:r w:rsidRPr="00941ED4">
        <w:rPr>
          <w:color w:val="000000"/>
          <w:sz w:val="22"/>
          <w:szCs w:val="22"/>
        </w:rPr>
        <w:t>hemorrhages</w:t>
      </w:r>
      <w:proofErr w:type="spellEnd"/>
      <w:r w:rsidRPr="00941ED4">
        <w:rPr>
          <w:color w:val="000000"/>
          <w:sz w:val="22"/>
          <w:szCs w:val="22"/>
        </w:rPr>
        <w:t xml:space="preserve"> extending into the cortex, subcortical locations are defined as superficial [8].</w:t>
      </w:r>
    </w:p>
    <w:p w14:paraId="5921F22E" w14:textId="7BD9ED6B" w:rsidR="00941ED4" w:rsidRDefault="00941ED4" w:rsidP="00941ED4">
      <w:pPr>
        <w:pStyle w:val="ListParagraph"/>
        <w:numPr>
          <w:ilvl w:val="1"/>
          <w:numId w:val="18"/>
        </w:numPr>
        <w:spacing w:before="240" w:after="120" w:line="276" w:lineRule="auto"/>
        <w:ind w:left="450"/>
        <w:contextualSpacing w:val="0"/>
        <w:jc w:val="both"/>
        <w:rPr>
          <w:rFonts w:ascii="Times New Roman" w:hAnsi="Times New Roman" w:cs="Times New Roman"/>
          <w:b/>
          <w:bCs/>
          <w:sz w:val="22"/>
          <w:szCs w:val="22"/>
        </w:rPr>
      </w:pPr>
      <w:r>
        <w:rPr>
          <w:rFonts w:ascii="Times New Roman" w:hAnsi="Times New Roman" w:cs="Times New Roman"/>
          <w:b/>
          <w:bCs/>
          <w:sz w:val="22"/>
          <w:szCs w:val="22"/>
        </w:rPr>
        <w:t>Pathology and Embryogenesis</w:t>
      </w:r>
    </w:p>
    <w:p w14:paraId="07A9176E" w14:textId="77777777" w:rsidR="00941ED4" w:rsidRDefault="00941ED4" w:rsidP="00941ED4">
      <w:pPr>
        <w:spacing w:after="120" w:line="276" w:lineRule="auto"/>
        <w:ind w:firstLine="450"/>
        <w:jc w:val="both"/>
        <w:rPr>
          <w:color w:val="000000"/>
          <w:sz w:val="22"/>
          <w:szCs w:val="22"/>
        </w:rPr>
      </w:pPr>
      <w:r w:rsidRPr="00941ED4">
        <w:rPr>
          <w:color w:val="000000"/>
          <w:sz w:val="22"/>
          <w:szCs w:val="22"/>
        </w:rPr>
        <w:t>AVMs are lesions of connections with an arteriovenous shunt, or tortuous and convoluted vascular structures connecting the supplying arteries with the draining veins. In embryology, AVMs are due to their consistent primitive AV connections or the development of a new connection after a process that initially appears to be closing normally. It is proposed that their embryonic origin is from the third week of development during embryogenesis. According to the literature, AVMs form from a mutation in certain early stages of embryogenesis, where they result in the absorption of multiple subarachnoid membranes, with certain events leading to their development [8].</w:t>
      </w:r>
    </w:p>
    <w:p w14:paraId="0C71506F" w14:textId="1BF5D7FB" w:rsidR="0019234B" w:rsidRDefault="0019234B" w:rsidP="0019234B">
      <w:pPr>
        <w:pStyle w:val="ListParagraph"/>
        <w:numPr>
          <w:ilvl w:val="1"/>
          <w:numId w:val="18"/>
        </w:numPr>
        <w:spacing w:before="240" w:after="120" w:line="276" w:lineRule="auto"/>
        <w:ind w:left="450"/>
        <w:contextualSpacing w:val="0"/>
        <w:jc w:val="both"/>
        <w:rPr>
          <w:rFonts w:ascii="Times New Roman" w:hAnsi="Times New Roman" w:cs="Times New Roman"/>
          <w:b/>
          <w:bCs/>
          <w:sz w:val="22"/>
          <w:szCs w:val="22"/>
        </w:rPr>
      </w:pPr>
      <w:r>
        <w:rPr>
          <w:rFonts w:ascii="Times New Roman" w:hAnsi="Times New Roman" w:cs="Times New Roman"/>
          <w:b/>
          <w:bCs/>
          <w:sz w:val="22"/>
          <w:szCs w:val="22"/>
        </w:rPr>
        <w:t>Diagnosis of AVM</w:t>
      </w:r>
    </w:p>
    <w:p w14:paraId="1B2E5AAB" w14:textId="77777777" w:rsidR="0019234B" w:rsidRPr="0019234B" w:rsidRDefault="0019234B" w:rsidP="0019234B">
      <w:pPr>
        <w:spacing w:after="120"/>
        <w:ind w:firstLine="450"/>
        <w:jc w:val="both"/>
        <w:rPr>
          <w:rFonts w:eastAsia="Arial"/>
          <w:color w:val="000000" w:themeColor="text1"/>
          <w:sz w:val="22"/>
          <w:szCs w:val="22"/>
        </w:rPr>
      </w:pPr>
      <w:r w:rsidRPr="0019234B">
        <w:rPr>
          <w:color w:val="000000" w:themeColor="text1"/>
          <w:sz w:val="22"/>
          <w:szCs w:val="22"/>
        </w:rPr>
        <w:t xml:space="preserve">We must evaluate AVMs based on the patient's physical examination and obtain imaging studies of the nervous system to arrive at a diagnosis. Children tend to present with symptoms, so their evaluation should be rapid for a comprehensive diagnostic approach. When </w:t>
      </w:r>
      <w:proofErr w:type="spellStart"/>
      <w:r w:rsidRPr="0019234B">
        <w:rPr>
          <w:color w:val="000000" w:themeColor="text1"/>
          <w:sz w:val="22"/>
          <w:szCs w:val="22"/>
        </w:rPr>
        <w:t>hemorrhage</w:t>
      </w:r>
      <w:proofErr w:type="spellEnd"/>
      <w:r w:rsidRPr="0019234B">
        <w:rPr>
          <w:color w:val="000000" w:themeColor="text1"/>
          <w:sz w:val="22"/>
          <w:szCs w:val="22"/>
        </w:rPr>
        <w:t xml:space="preserve"> is suspected, it is a cause for emergency, so we order CT. CT angiography should be performed first due to its speed and effectiveness. We begin the diagnosis with CT angiography and, if urgent, proceed to magnetic resonance angiography (MRA). We also consider the use of digital subtraction angiography (DSA); at the anatomical level of the nidus, it is more accurate, with over 90% accuracy in the presence of spontaneous ICH. Some analyses of </w:t>
      </w:r>
      <w:proofErr w:type="spellStart"/>
      <w:r w:rsidRPr="0019234B">
        <w:rPr>
          <w:color w:val="000000" w:themeColor="text1"/>
          <w:sz w:val="22"/>
          <w:szCs w:val="22"/>
        </w:rPr>
        <w:t>pediatric</w:t>
      </w:r>
      <w:proofErr w:type="spellEnd"/>
      <w:r w:rsidRPr="0019234B">
        <w:rPr>
          <w:color w:val="000000" w:themeColor="text1"/>
          <w:sz w:val="22"/>
          <w:szCs w:val="22"/>
        </w:rPr>
        <w:t xml:space="preserve"> studies show a complication rate of 0.4%, while AVMs receive blood from ipsilateral or contralateral middle meningeal arteries in up to 15% of cases, but notably, they are not visible on magnetic resonance angiography (MRA). Cerebral artery dissection angiography tends to predict important information regarding both </w:t>
      </w:r>
      <w:proofErr w:type="spellStart"/>
      <w:r w:rsidRPr="0019234B">
        <w:rPr>
          <w:color w:val="000000" w:themeColor="text1"/>
          <w:sz w:val="22"/>
          <w:szCs w:val="22"/>
        </w:rPr>
        <w:t>hemorrhage</w:t>
      </w:r>
      <w:proofErr w:type="spellEnd"/>
      <w:r w:rsidRPr="0019234B">
        <w:rPr>
          <w:color w:val="000000" w:themeColor="text1"/>
          <w:sz w:val="22"/>
          <w:szCs w:val="22"/>
        </w:rPr>
        <w:t xml:space="preserve"> and outflow tract stenosis, including arteriovenous size and venous drainage. If a patient presents with telangiectasias, congenital AVMs, or lower limb asymmetries, genetic testing, RASA-1, or HHT testing should be performed. [9]. </w:t>
      </w:r>
    </w:p>
    <w:p w14:paraId="09EFD8EF" w14:textId="77777777" w:rsidR="0019234B" w:rsidRDefault="0019234B" w:rsidP="0019234B">
      <w:pPr>
        <w:spacing w:after="120"/>
        <w:ind w:firstLine="450"/>
        <w:jc w:val="both"/>
        <w:rPr>
          <w:color w:val="000000" w:themeColor="text1"/>
          <w:sz w:val="22"/>
          <w:szCs w:val="22"/>
        </w:rPr>
      </w:pPr>
      <w:r w:rsidRPr="0019234B">
        <w:rPr>
          <w:color w:val="000000" w:themeColor="text1"/>
          <w:sz w:val="22"/>
          <w:szCs w:val="22"/>
        </w:rPr>
        <w:t xml:space="preserve">If the AVM is not completely embolized, the femoral artery sheaths are preserved, and the AVM is subsequently removed </w:t>
      </w:r>
      <w:proofErr w:type="spellStart"/>
      <w:r w:rsidRPr="0019234B">
        <w:rPr>
          <w:color w:val="000000" w:themeColor="text1"/>
          <w:sz w:val="22"/>
          <w:szCs w:val="22"/>
        </w:rPr>
        <w:t>microsurgically</w:t>
      </w:r>
      <w:proofErr w:type="spellEnd"/>
      <w:r w:rsidRPr="0019234B">
        <w:rPr>
          <w:color w:val="000000" w:themeColor="text1"/>
          <w:sz w:val="22"/>
          <w:szCs w:val="22"/>
        </w:rPr>
        <w:t xml:space="preserve"> via craniotomy. After removing the AVM, we performed an angiography to confirm the resection results and continued surgery in those patients with recurrence. Microsurgery can be performed by making surgical incisions according to preoperative images, first preparing the blood products and loading the temporary aneurysm clips. In this case report we performed a craniotomy to secure the lesion margins within the operative exposure.  After opening the dura, we dissected the lesion </w:t>
      </w:r>
      <w:r w:rsidRPr="0019234B">
        <w:rPr>
          <w:color w:val="000000" w:themeColor="text1"/>
          <w:sz w:val="22"/>
          <w:szCs w:val="22"/>
        </w:rPr>
        <w:lastRenderedPageBreak/>
        <w:t>under the surgical microscope. We continued to the superficial draining vein before locating the nidus. Thereafter we coagulated and cut the main feeding arteries. We performed an anatomical and circumferential cortical and subcortical dissection with serial coagulation of the feeding arterial pedicles well before disconnecting the venous drainage. The AVMs were combined with the intracranial hematoma that was excised to increase the exposure volume well before the AVM was removed [10].</w:t>
      </w:r>
    </w:p>
    <w:p w14:paraId="552454FE" w14:textId="6FED9EBE" w:rsidR="0019234B" w:rsidRPr="0019234B" w:rsidRDefault="0019234B" w:rsidP="0019234B">
      <w:pPr>
        <w:spacing w:after="120"/>
        <w:ind w:firstLine="450"/>
        <w:jc w:val="both"/>
        <w:rPr>
          <w:rFonts w:eastAsia="Arial"/>
          <w:color w:val="000000" w:themeColor="text1"/>
          <w:sz w:val="22"/>
          <w:szCs w:val="22"/>
        </w:rPr>
      </w:pPr>
      <w:r w:rsidRPr="0019234B">
        <w:rPr>
          <w:color w:val="000000" w:themeColor="text1"/>
          <w:sz w:val="22"/>
          <w:szCs w:val="22"/>
        </w:rPr>
        <w:t xml:space="preserve">AVMs may occur in superficial cortical regions or in deep locations such as the thalamus, basal ganglia, and brainstem, with deep AVMs carrying higher surgical risk. These AVMs represent the highest risk of </w:t>
      </w:r>
      <w:proofErr w:type="spellStart"/>
      <w:r w:rsidRPr="0019234B">
        <w:rPr>
          <w:color w:val="000000" w:themeColor="text1"/>
          <w:sz w:val="22"/>
          <w:szCs w:val="22"/>
        </w:rPr>
        <w:t>hemorrhage</w:t>
      </w:r>
      <w:proofErr w:type="spellEnd"/>
      <w:r w:rsidRPr="0019234B">
        <w:rPr>
          <w:color w:val="000000" w:themeColor="text1"/>
          <w:sz w:val="22"/>
          <w:szCs w:val="22"/>
        </w:rPr>
        <w:t xml:space="preserve"> compared to superficial AVMs, where surgical resection will be more complex. Therefore, stereotactic radiosurgery is an alternative option for achieving the desired results.  Ruptured AVMs account for 30–50% of all intracranial </w:t>
      </w:r>
      <w:proofErr w:type="spellStart"/>
      <w:r w:rsidRPr="0019234B">
        <w:rPr>
          <w:color w:val="000000" w:themeColor="text1"/>
          <w:sz w:val="22"/>
          <w:szCs w:val="22"/>
        </w:rPr>
        <w:t>hemorrhages</w:t>
      </w:r>
      <w:proofErr w:type="spellEnd"/>
      <w:r w:rsidRPr="0019234B">
        <w:rPr>
          <w:color w:val="000000" w:themeColor="text1"/>
          <w:sz w:val="22"/>
          <w:szCs w:val="22"/>
        </w:rPr>
        <w:t xml:space="preserve"> in the </w:t>
      </w:r>
      <w:proofErr w:type="spellStart"/>
      <w:r w:rsidRPr="0019234B">
        <w:rPr>
          <w:color w:val="000000" w:themeColor="text1"/>
          <w:sz w:val="22"/>
          <w:szCs w:val="22"/>
        </w:rPr>
        <w:t>pediatric</w:t>
      </w:r>
      <w:proofErr w:type="spellEnd"/>
      <w:r w:rsidRPr="0019234B">
        <w:rPr>
          <w:color w:val="000000" w:themeColor="text1"/>
          <w:sz w:val="22"/>
          <w:szCs w:val="22"/>
        </w:rPr>
        <w:t xml:space="preserve"> population and are the cause of </w:t>
      </w:r>
      <w:proofErr w:type="spellStart"/>
      <w:r w:rsidRPr="0019234B">
        <w:rPr>
          <w:color w:val="000000" w:themeColor="text1"/>
          <w:sz w:val="22"/>
          <w:szCs w:val="22"/>
        </w:rPr>
        <w:t>hemorrhagic</w:t>
      </w:r>
      <w:proofErr w:type="spellEnd"/>
      <w:r w:rsidRPr="0019234B">
        <w:rPr>
          <w:color w:val="000000" w:themeColor="text1"/>
          <w:sz w:val="22"/>
          <w:szCs w:val="22"/>
        </w:rPr>
        <w:t xml:space="preserve"> strokes in children. The most current therapies for treating ruptured AVMs in children include open surgery, endovascular embolization, stereotactic radiosurgery, and gamma or multimodal radiosurgery. </w:t>
      </w:r>
      <w:hyperlink r:id="rId16" w:tooltip="http://radiosurgery.in/" w:history="1">
        <w:r w:rsidRPr="0019234B">
          <w:rPr>
            <w:rStyle w:val="15"/>
            <w:rFonts w:hint="default"/>
            <w:color w:val="000000" w:themeColor="text1"/>
            <w:sz w:val="22"/>
            <w:szCs w:val="22"/>
          </w:rPr>
          <w:t>In</w:t>
        </w:r>
      </w:hyperlink>
      <w:r w:rsidRPr="0019234B">
        <w:rPr>
          <w:color w:val="000000" w:themeColor="text1"/>
          <w:sz w:val="22"/>
          <w:szCs w:val="22"/>
        </w:rPr>
        <w:t xml:space="preserve"> another case report, they used  endovascular embolization with a catheter to deposit certain particles with glue-like substances into the artery to block blood flow. Stereotactic surgery can apply radiation beams to treat AVMs, precisely eliminating the vessel malformation. Scarred vessels will slowly clot, starting 1-3 years after treatment. Consequently, bleeding may occur during the latency period and must be treated. Therefore, this treatment is best suited for eloquent AVMs in very deep locations [11].</w:t>
      </w:r>
    </w:p>
    <w:p w14:paraId="36C351CA" w14:textId="7A5B2F25" w:rsidR="0019234B" w:rsidRDefault="0019234B" w:rsidP="0019234B">
      <w:pPr>
        <w:pStyle w:val="ListParagraph"/>
        <w:numPr>
          <w:ilvl w:val="1"/>
          <w:numId w:val="18"/>
        </w:numPr>
        <w:spacing w:before="240" w:after="120" w:line="276" w:lineRule="auto"/>
        <w:ind w:left="450"/>
        <w:contextualSpacing w:val="0"/>
        <w:jc w:val="both"/>
        <w:rPr>
          <w:rFonts w:ascii="Times New Roman" w:hAnsi="Times New Roman" w:cs="Times New Roman"/>
          <w:b/>
          <w:bCs/>
          <w:sz w:val="22"/>
          <w:szCs w:val="22"/>
        </w:rPr>
      </w:pPr>
      <w:r>
        <w:rPr>
          <w:rFonts w:ascii="Times New Roman" w:hAnsi="Times New Roman" w:cs="Times New Roman"/>
          <w:b/>
          <w:bCs/>
          <w:sz w:val="22"/>
          <w:szCs w:val="22"/>
        </w:rPr>
        <w:t>Stereotactic Radiosurgery (SRS)</w:t>
      </w:r>
    </w:p>
    <w:p w14:paraId="252DF8EF" w14:textId="2DDDF9E4" w:rsidR="0019234B" w:rsidRDefault="0019234B" w:rsidP="0019234B">
      <w:pPr>
        <w:pStyle w:val="ListParagraph"/>
        <w:spacing w:before="240" w:after="120" w:line="276" w:lineRule="auto"/>
        <w:ind w:left="-30" w:firstLine="480"/>
        <w:contextualSpacing w:val="0"/>
        <w:jc w:val="both"/>
        <w:rPr>
          <w:rFonts w:ascii="Times New Roman" w:hAnsi="Times New Roman" w:cs="Times New Roman"/>
          <w:sz w:val="22"/>
          <w:szCs w:val="22"/>
        </w:rPr>
      </w:pPr>
      <w:r w:rsidRPr="0019234B">
        <w:rPr>
          <w:rFonts w:ascii="Times New Roman" w:hAnsi="Times New Roman" w:cs="Times New Roman"/>
          <w:sz w:val="22"/>
          <w:szCs w:val="22"/>
        </w:rPr>
        <w:t xml:space="preserve">Studies have reported a combined rate of 71% postoperative </w:t>
      </w:r>
      <w:proofErr w:type="spellStart"/>
      <w:r w:rsidRPr="0019234B">
        <w:rPr>
          <w:rFonts w:ascii="Times New Roman" w:hAnsi="Times New Roman" w:cs="Times New Roman"/>
          <w:sz w:val="22"/>
          <w:szCs w:val="22"/>
        </w:rPr>
        <w:t>hemorrhage</w:t>
      </w:r>
      <w:proofErr w:type="spellEnd"/>
      <w:r w:rsidRPr="0019234B">
        <w:rPr>
          <w:rFonts w:ascii="Times New Roman" w:hAnsi="Times New Roman" w:cs="Times New Roman"/>
          <w:sz w:val="22"/>
          <w:szCs w:val="22"/>
        </w:rPr>
        <w:t xml:space="preserve">, with 2.6 neurological complications per case, compared to less than 1%. While a </w:t>
      </w:r>
      <w:proofErr w:type="spellStart"/>
      <w:r w:rsidRPr="0019234B">
        <w:rPr>
          <w:rFonts w:ascii="Times New Roman" w:hAnsi="Times New Roman" w:cs="Times New Roman"/>
          <w:sz w:val="22"/>
          <w:szCs w:val="22"/>
        </w:rPr>
        <w:t>CyberKnife</w:t>
      </w:r>
      <w:proofErr w:type="spellEnd"/>
      <w:r w:rsidRPr="0019234B">
        <w:rPr>
          <w:rFonts w:ascii="Times New Roman" w:hAnsi="Times New Roman" w:cs="Times New Roman"/>
          <w:sz w:val="22"/>
          <w:szCs w:val="22"/>
        </w:rPr>
        <w:t xml:space="preserve"> assessment in European countries of AVMs showed a 79% rate for small-volume AVMs, some adverse radiation effects were observed in 31% of patients. High-grade lesions had less </w:t>
      </w:r>
      <w:proofErr w:type="spellStart"/>
      <w:r w:rsidRPr="0019234B">
        <w:rPr>
          <w:rFonts w:ascii="Times New Roman" w:hAnsi="Times New Roman" w:cs="Times New Roman"/>
          <w:sz w:val="22"/>
          <w:szCs w:val="22"/>
        </w:rPr>
        <w:t>favorable</w:t>
      </w:r>
      <w:proofErr w:type="spellEnd"/>
      <w:r w:rsidRPr="0019234B">
        <w:rPr>
          <w:rFonts w:ascii="Times New Roman" w:hAnsi="Times New Roman" w:cs="Times New Roman"/>
          <w:sz w:val="22"/>
          <w:szCs w:val="22"/>
        </w:rPr>
        <w:t xml:space="preserve"> outcomes, with a 10-year obliteration rate of 35% for </w:t>
      </w:r>
      <w:proofErr w:type="spellStart"/>
      <w:r w:rsidRPr="0019234B">
        <w:rPr>
          <w:rFonts w:ascii="Times New Roman" w:hAnsi="Times New Roman" w:cs="Times New Roman"/>
          <w:sz w:val="22"/>
          <w:szCs w:val="22"/>
        </w:rPr>
        <w:t>Spetzler</w:t>
      </w:r>
      <w:proofErr w:type="spellEnd"/>
      <w:r w:rsidRPr="0019234B">
        <w:rPr>
          <w:rFonts w:ascii="Times New Roman" w:hAnsi="Times New Roman" w:cs="Times New Roman"/>
          <w:sz w:val="22"/>
          <w:szCs w:val="22"/>
        </w:rPr>
        <w:t xml:space="preserve">-Martin IV-V AVMs, an annual </w:t>
      </w:r>
      <w:proofErr w:type="spellStart"/>
      <w:r w:rsidRPr="0019234B">
        <w:rPr>
          <w:rFonts w:ascii="Times New Roman" w:hAnsi="Times New Roman" w:cs="Times New Roman"/>
          <w:sz w:val="22"/>
          <w:szCs w:val="22"/>
        </w:rPr>
        <w:t>hemorrhage</w:t>
      </w:r>
      <w:proofErr w:type="spellEnd"/>
      <w:r w:rsidRPr="0019234B">
        <w:rPr>
          <w:rFonts w:ascii="Times New Roman" w:hAnsi="Times New Roman" w:cs="Times New Roman"/>
          <w:sz w:val="22"/>
          <w:szCs w:val="22"/>
        </w:rPr>
        <w:t xml:space="preserve"> risk of 3%, and permanent neurological deficits in 3.5% of all cases. The International Stereotactic Radiosurgery Society (ISRS) issued </w:t>
      </w:r>
      <w:proofErr w:type="spellStart"/>
      <w:r w:rsidRPr="0019234B">
        <w:rPr>
          <w:rFonts w:ascii="Times New Roman" w:hAnsi="Times New Roman" w:cs="Times New Roman"/>
          <w:sz w:val="22"/>
          <w:szCs w:val="22"/>
        </w:rPr>
        <w:t>pediatric</w:t>
      </w:r>
      <w:proofErr w:type="spellEnd"/>
      <w:r w:rsidRPr="0019234B">
        <w:rPr>
          <w:rFonts w:ascii="Times New Roman" w:hAnsi="Times New Roman" w:cs="Times New Roman"/>
          <w:sz w:val="22"/>
          <w:szCs w:val="22"/>
        </w:rPr>
        <w:t xml:space="preserve"> practice guidelines confirming obliteration rates of 65-75% in post-SRS </w:t>
      </w:r>
      <w:proofErr w:type="spellStart"/>
      <w:r w:rsidRPr="0019234B">
        <w:rPr>
          <w:rFonts w:ascii="Times New Roman" w:hAnsi="Times New Roman" w:cs="Times New Roman"/>
          <w:sz w:val="22"/>
          <w:szCs w:val="22"/>
        </w:rPr>
        <w:t>hemorrhage</w:t>
      </w:r>
      <w:proofErr w:type="spellEnd"/>
      <w:r w:rsidRPr="0019234B">
        <w:rPr>
          <w:rFonts w:ascii="Times New Roman" w:hAnsi="Times New Roman" w:cs="Times New Roman"/>
          <w:sz w:val="22"/>
          <w:szCs w:val="22"/>
        </w:rPr>
        <w:t>, which will occur in 2-3% of cases. Recurrences are rare, occurring in less than 1% of cases; therefore, retreatment and staged radiosurgery are recommended for incomplete obliteration and persistent niduses in certain eloquent areas [12].</w:t>
      </w:r>
    </w:p>
    <w:p w14:paraId="7B228C20" w14:textId="08E118AE" w:rsidR="0019234B" w:rsidRDefault="0019234B" w:rsidP="0019234B">
      <w:pPr>
        <w:pStyle w:val="ListParagraph"/>
        <w:numPr>
          <w:ilvl w:val="1"/>
          <w:numId w:val="18"/>
        </w:numPr>
        <w:spacing w:before="240" w:after="120" w:line="276" w:lineRule="auto"/>
        <w:ind w:left="450"/>
        <w:contextualSpacing w:val="0"/>
        <w:jc w:val="both"/>
        <w:rPr>
          <w:rFonts w:ascii="Times New Roman" w:hAnsi="Times New Roman" w:cs="Times New Roman"/>
          <w:b/>
          <w:bCs/>
          <w:sz w:val="22"/>
          <w:szCs w:val="22"/>
        </w:rPr>
      </w:pPr>
      <w:r>
        <w:rPr>
          <w:rFonts w:ascii="Times New Roman" w:hAnsi="Times New Roman" w:cs="Times New Roman"/>
          <w:b/>
          <w:bCs/>
          <w:sz w:val="22"/>
          <w:szCs w:val="22"/>
        </w:rPr>
        <w:t>Endovascular Embolization</w:t>
      </w:r>
    </w:p>
    <w:p w14:paraId="7022C0AE" w14:textId="35D8BDC7" w:rsidR="0019234B" w:rsidRDefault="0019234B" w:rsidP="0019234B">
      <w:pPr>
        <w:pStyle w:val="ListParagraph"/>
        <w:spacing w:before="240" w:after="120" w:line="276" w:lineRule="auto"/>
        <w:ind w:left="0" w:firstLine="450"/>
        <w:contextualSpacing w:val="0"/>
        <w:jc w:val="both"/>
        <w:rPr>
          <w:rFonts w:ascii="Times New Roman" w:hAnsi="Times New Roman" w:cs="Times New Roman"/>
          <w:sz w:val="22"/>
          <w:szCs w:val="22"/>
        </w:rPr>
      </w:pPr>
      <w:r w:rsidRPr="0019234B">
        <w:rPr>
          <w:rFonts w:ascii="Times New Roman" w:hAnsi="Times New Roman" w:cs="Times New Roman"/>
          <w:sz w:val="22"/>
          <w:szCs w:val="22"/>
        </w:rPr>
        <w:t xml:space="preserve">Endovascular embolization is a treatment technique for AVMs. In </w:t>
      </w:r>
      <w:proofErr w:type="spellStart"/>
      <w:r w:rsidRPr="0019234B">
        <w:rPr>
          <w:rFonts w:ascii="Times New Roman" w:hAnsi="Times New Roman" w:cs="Times New Roman"/>
          <w:sz w:val="22"/>
          <w:szCs w:val="22"/>
        </w:rPr>
        <w:t>pediatrics</w:t>
      </w:r>
      <w:proofErr w:type="spellEnd"/>
      <w:r w:rsidRPr="0019234B">
        <w:rPr>
          <w:rFonts w:ascii="Times New Roman" w:hAnsi="Times New Roman" w:cs="Times New Roman"/>
          <w:sz w:val="22"/>
          <w:szCs w:val="22"/>
        </w:rPr>
        <w:t xml:space="preserve">, it involves the use of MBCA, Onyx, and detachable coils with other types of particles. MBCA and Onyx are generally used for partial and complete obliteration of the nidus, while other particles derived from these two materials are used to treat accompanying vascular lesions. The choice of particles depends on the location, size, and angioarchitecture of the vascular lesion, as well as the risk of rupture and bleeding. Examples include intranidal aneurysms and aneurysms associated with flow adjacent to cerebral AVMs of </w:t>
      </w:r>
      <w:proofErr w:type="spellStart"/>
      <w:r w:rsidRPr="0019234B">
        <w:rPr>
          <w:rFonts w:ascii="Times New Roman" w:hAnsi="Times New Roman" w:cs="Times New Roman"/>
          <w:sz w:val="22"/>
          <w:szCs w:val="22"/>
        </w:rPr>
        <w:t>pediatric</w:t>
      </w:r>
      <w:proofErr w:type="spellEnd"/>
      <w:r w:rsidRPr="0019234B">
        <w:rPr>
          <w:rFonts w:ascii="Times New Roman" w:hAnsi="Times New Roman" w:cs="Times New Roman"/>
          <w:sz w:val="22"/>
          <w:szCs w:val="22"/>
        </w:rPr>
        <w:t xml:space="preserve"> origin. In a study of 79 children who underwent angiographic treatment, 29% of cases were successful, with only one death following the procedure, resulting in a mortality rate of 1.3%. In another single-</w:t>
      </w:r>
      <w:proofErr w:type="spellStart"/>
      <w:r w:rsidRPr="0019234B">
        <w:rPr>
          <w:rFonts w:ascii="Times New Roman" w:hAnsi="Times New Roman" w:cs="Times New Roman"/>
          <w:sz w:val="22"/>
          <w:szCs w:val="22"/>
        </w:rPr>
        <w:t>center</w:t>
      </w:r>
      <w:proofErr w:type="spellEnd"/>
      <w:r w:rsidRPr="0019234B">
        <w:rPr>
          <w:rFonts w:ascii="Times New Roman" w:hAnsi="Times New Roman" w:cs="Times New Roman"/>
          <w:sz w:val="22"/>
          <w:szCs w:val="22"/>
        </w:rPr>
        <w:t xml:space="preserve"> study of 26 patients, the authors reported a total angiographic exclusion rate of 42% for radiosurgery and microsurgery. Recurrence and complications occurred in 17%, demonstrating positive outcomes for each patient. Other institutions reported recovery rates of 30-40% with complication rates of 15-20%. Embolization prior to radiosurgery proved beneficial. Another </w:t>
      </w:r>
      <w:proofErr w:type="spellStart"/>
      <w:r w:rsidRPr="0019234B">
        <w:rPr>
          <w:rFonts w:ascii="Times New Roman" w:hAnsi="Times New Roman" w:cs="Times New Roman"/>
          <w:sz w:val="22"/>
          <w:szCs w:val="22"/>
        </w:rPr>
        <w:t>multicenter</w:t>
      </w:r>
      <w:proofErr w:type="spellEnd"/>
      <w:r w:rsidRPr="0019234B">
        <w:rPr>
          <w:rFonts w:ascii="Times New Roman" w:hAnsi="Times New Roman" w:cs="Times New Roman"/>
          <w:sz w:val="22"/>
          <w:szCs w:val="22"/>
        </w:rPr>
        <w:t xml:space="preserve"> institution, which enrolled approximately 539 children, compared the outcomes of stereotactic radiosurgery alone versus embolization followed by SRS, achieving a 10-year obliteration rate of 77%. The SRS-only group showed a 49% obliteration rate in patients with prior embolization, with significantly higher rates of radiation-induced changes compared to the latter group (16.7% vs. 9.0%) [13, 15].</w:t>
      </w:r>
    </w:p>
    <w:p w14:paraId="625C66E9" w14:textId="0F56CC5D" w:rsidR="0019234B" w:rsidRDefault="0019234B" w:rsidP="0019234B">
      <w:pPr>
        <w:pStyle w:val="ListParagraph"/>
        <w:spacing w:before="240" w:after="120" w:line="276" w:lineRule="auto"/>
        <w:ind w:left="0"/>
        <w:contextualSpacing w:val="0"/>
        <w:jc w:val="both"/>
        <w:rPr>
          <w:rFonts w:ascii="Times New Roman" w:hAnsi="Times New Roman" w:cs="Times New Roman"/>
          <w:sz w:val="22"/>
          <w:szCs w:val="22"/>
        </w:rPr>
      </w:pPr>
    </w:p>
    <w:p w14:paraId="0FEAC615" w14:textId="77777777" w:rsidR="006031E0" w:rsidRDefault="006031E0" w:rsidP="0019234B">
      <w:pPr>
        <w:pStyle w:val="ListParagraph"/>
        <w:spacing w:before="240" w:after="120" w:line="276" w:lineRule="auto"/>
        <w:ind w:left="0"/>
        <w:contextualSpacing w:val="0"/>
        <w:jc w:val="both"/>
        <w:rPr>
          <w:rFonts w:ascii="Times New Roman" w:hAnsi="Times New Roman" w:cs="Times New Roman"/>
          <w:sz w:val="22"/>
          <w:szCs w:val="22"/>
        </w:rPr>
      </w:pPr>
    </w:p>
    <w:p w14:paraId="15C808D7" w14:textId="452CFC59" w:rsidR="0019234B" w:rsidRDefault="0019234B" w:rsidP="0019234B">
      <w:pPr>
        <w:pStyle w:val="ListParagraph"/>
        <w:numPr>
          <w:ilvl w:val="1"/>
          <w:numId w:val="18"/>
        </w:numPr>
        <w:spacing w:before="240" w:after="120" w:line="276" w:lineRule="auto"/>
        <w:ind w:left="450"/>
        <w:contextualSpacing w:val="0"/>
        <w:jc w:val="both"/>
        <w:rPr>
          <w:rFonts w:ascii="Times New Roman" w:hAnsi="Times New Roman" w:cs="Times New Roman"/>
          <w:b/>
          <w:bCs/>
          <w:sz w:val="22"/>
          <w:szCs w:val="22"/>
        </w:rPr>
      </w:pPr>
      <w:r>
        <w:rPr>
          <w:rFonts w:ascii="Times New Roman" w:hAnsi="Times New Roman" w:cs="Times New Roman"/>
          <w:b/>
          <w:bCs/>
          <w:sz w:val="22"/>
          <w:szCs w:val="22"/>
        </w:rPr>
        <w:lastRenderedPageBreak/>
        <w:t>Microsurgery</w:t>
      </w:r>
    </w:p>
    <w:p w14:paraId="4441715E" w14:textId="73EBE2DA" w:rsidR="0019234B" w:rsidRDefault="0019234B" w:rsidP="0019234B">
      <w:pPr>
        <w:spacing w:after="120" w:line="276" w:lineRule="auto"/>
        <w:ind w:firstLine="450"/>
        <w:jc w:val="both"/>
        <w:rPr>
          <w:color w:val="000000"/>
          <w:sz w:val="22"/>
          <w:szCs w:val="22"/>
        </w:rPr>
      </w:pPr>
      <w:r w:rsidRPr="0019234B">
        <w:rPr>
          <w:color w:val="000000"/>
          <w:sz w:val="22"/>
          <w:szCs w:val="22"/>
        </w:rPr>
        <w:t xml:space="preserve">Understanding the risks of surgery is important for the surgeon after explaining them to the patient. Therefore, the </w:t>
      </w:r>
      <w:proofErr w:type="spellStart"/>
      <w:r w:rsidRPr="0019234B">
        <w:rPr>
          <w:color w:val="000000"/>
          <w:sz w:val="22"/>
          <w:szCs w:val="22"/>
        </w:rPr>
        <w:t>Spetzler</w:t>
      </w:r>
      <w:proofErr w:type="spellEnd"/>
      <w:r w:rsidRPr="0019234B">
        <w:rPr>
          <w:color w:val="000000"/>
          <w:sz w:val="22"/>
          <w:szCs w:val="22"/>
        </w:rPr>
        <w:t>-Martin system incorporates a larger diameter range (&lt;3 cm, 3-6 cm, and &gt;6 cm), while the presence of an adjacent brain with deep venous drainage will negatively affect the surgical outcome. The total score will be 5 points, and each point will represent approximately a 10% increased risk of deficit. Subsequent studies conducted in mid-2010-2011 included a system of classified levels from A to C, from lowest to highest risk; a compact nidus would be considered lower risk, while a diffuse nidus would be considered higher risk. [14, 16].</w:t>
      </w:r>
    </w:p>
    <w:p w14:paraId="3EE17B17" w14:textId="23CE2622" w:rsidR="0019234B" w:rsidRDefault="0019234B" w:rsidP="0019234B">
      <w:pPr>
        <w:pStyle w:val="ListParagraph"/>
        <w:numPr>
          <w:ilvl w:val="1"/>
          <w:numId w:val="18"/>
        </w:numPr>
        <w:spacing w:before="240" w:after="120" w:line="276" w:lineRule="auto"/>
        <w:ind w:left="450"/>
        <w:contextualSpacing w:val="0"/>
        <w:jc w:val="both"/>
        <w:rPr>
          <w:rFonts w:ascii="Times New Roman" w:hAnsi="Times New Roman" w:cs="Times New Roman"/>
          <w:b/>
          <w:bCs/>
          <w:sz w:val="22"/>
          <w:szCs w:val="22"/>
        </w:rPr>
      </w:pPr>
      <w:r>
        <w:rPr>
          <w:rFonts w:ascii="Times New Roman" w:hAnsi="Times New Roman" w:cs="Times New Roman"/>
          <w:b/>
          <w:bCs/>
          <w:sz w:val="22"/>
          <w:szCs w:val="22"/>
        </w:rPr>
        <w:t>Hybrid Single-Step Procedure (Embolization + Microsurgery)</w:t>
      </w:r>
    </w:p>
    <w:p w14:paraId="70CD8243" w14:textId="389B0570" w:rsidR="004E67CD" w:rsidRPr="0019234B" w:rsidRDefault="0019234B" w:rsidP="0019234B">
      <w:pPr>
        <w:spacing w:after="120" w:line="276" w:lineRule="auto"/>
        <w:ind w:firstLine="450"/>
        <w:jc w:val="both"/>
        <w:rPr>
          <w:color w:val="000000"/>
          <w:sz w:val="22"/>
          <w:szCs w:val="22"/>
        </w:rPr>
      </w:pPr>
      <w:r w:rsidRPr="0019234B">
        <w:rPr>
          <w:color w:val="000000"/>
          <w:sz w:val="22"/>
          <w:szCs w:val="22"/>
        </w:rPr>
        <w:t xml:space="preserve">After stabilizing the operating room and performing cerebral angiography via femoral access, we confirm both the feeding artery and the draining vein of the AVM. Angiography and embolization can be performed using a Philips FD20 device or the one preferred by your institution. After general </w:t>
      </w:r>
      <w:proofErr w:type="spellStart"/>
      <w:r w:rsidRPr="0019234B">
        <w:rPr>
          <w:color w:val="000000"/>
          <w:sz w:val="22"/>
          <w:szCs w:val="22"/>
        </w:rPr>
        <w:t>anesthesia</w:t>
      </w:r>
      <w:proofErr w:type="spellEnd"/>
      <w:r w:rsidRPr="0019234B">
        <w:rPr>
          <w:color w:val="000000"/>
          <w:sz w:val="22"/>
          <w:szCs w:val="22"/>
        </w:rPr>
        <w:t xml:space="preserve">, the right femoral artery is punctured with a suitable arterial sheath. Initially, not all patients were heparinized because an additional craniotomy would have been necessary after the angiography. The decision to heparinize will be made after the embolization process. We will select catheters, microcatheters with microwires, and the embolic agent Onyx (Covidien/ev3, Irvine, California, USA); the choice will be made by the attending surgeon and will depend on the characteristics of the AVM. Once embolization begins, the catheter tip should be brought as close as possible to the deformed blood vessels. The embolic glue will be injected gradually under periodic visualization, and we will attempt to completely occlude the proximal draining vein. If the supplying arteries are not fully embolized and the femoral artery sheath is not preserved, the AVM will then be removed </w:t>
      </w:r>
      <w:proofErr w:type="spellStart"/>
      <w:r w:rsidRPr="0019234B">
        <w:rPr>
          <w:color w:val="000000"/>
          <w:sz w:val="22"/>
          <w:szCs w:val="22"/>
        </w:rPr>
        <w:t>microsurgically</w:t>
      </w:r>
      <w:proofErr w:type="spellEnd"/>
      <w:r w:rsidRPr="0019234B">
        <w:rPr>
          <w:color w:val="000000"/>
          <w:sz w:val="22"/>
          <w:szCs w:val="22"/>
        </w:rPr>
        <w:t xml:space="preserve"> through a craniotomy in the operating room. During AVM removal, a DSA will be performed, and the results of the reaction will be confirmed</w:t>
      </w:r>
      <w:r>
        <w:rPr>
          <w:color w:val="000000"/>
          <w:sz w:val="22"/>
          <w:szCs w:val="22"/>
        </w:rPr>
        <w:t xml:space="preserve"> </w:t>
      </w:r>
      <w:r w:rsidRPr="0019234B">
        <w:rPr>
          <w:color w:val="000000"/>
          <w:sz w:val="22"/>
          <w:szCs w:val="22"/>
        </w:rPr>
        <w:t>[14, 16, 17].</w:t>
      </w:r>
    </w:p>
    <w:p w14:paraId="18068F28" w14:textId="79220761" w:rsidR="004E67CD" w:rsidRDefault="004E67CD" w:rsidP="004E67CD">
      <w:pPr>
        <w:pStyle w:val="ListParagraph"/>
        <w:numPr>
          <w:ilvl w:val="0"/>
          <w:numId w:val="18"/>
        </w:numPr>
        <w:spacing w:before="240" w:after="120" w:line="276" w:lineRule="auto"/>
        <w:ind w:left="360"/>
        <w:contextualSpacing w:val="0"/>
        <w:jc w:val="both"/>
        <w:rPr>
          <w:rFonts w:ascii="Times New Roman" w:hAnsi="Times New Roman" w:cs="Times New Roman"/>
          <w:b/>
          <w:bCs/>
          <w:sz w:val="22"/>
          <w:szCs w:val="22"/>
        </w:rPr>
      </w:pPr>
      <w:r>
        <w:rPr>
          <w:rFonts w:ascii="Times New Roman" w:hAnsi="Times New Roman" w:cs="Times New Roman"/>
          <w:b/>
          <w:bCs/>
          <w:sz w:val="22"/>
          <w:szCs w:val="22"/>
        </w:rPr>
        <w:t>Conclusion</w:t>
      </w:r>
    </w:p>
    <w:p w14:paraId="4C36B985" w14:textId="433B59C7" w:rsidR="00E14EC1" w:rsidRPr="00E14EC1" w:rsidRDefault="0019234B" w:rsidP="00E14EC1">
      <w:pPr>
        <w:spacing w:line="276" w:lineRule="auto"/>
        <w:ind w:firstLine="360"/>
        <w:jc w:val="both"/>
        <w:rPr>
          <w:color w:val="000000"/>
          <w:sz w:val="22"/>
          <w:szCs w:val="22"/>
        </w:rPr>
      </w:pPr>
      <w:r w:rsidRPr="0019234B">
        <w:rPr>
          <w:color w:val="000000"/>
          <w:sz w:val="22"/>
          <w:szCs w:val="22"/>
        </w:rPr>
        <w:t xml:space="preserve">The management of AVMs, irrespective of rupture status, underscores the critical role of imaging techniques such as MRIs, CT scans, and cerebral angiography. These modalities are essential for accurate diagnosis of the malformation, which informs the selection of appropriate surgical interventions for each patient. Vascular embolization was essential in the second case due to the rupture of the AVM. The bleeding artery was successfully embolized and </w:t>
      </w:r>
      <w:proofErr w:type="spellStart"/>
      <w:r w:rsidRPr="0019234B">
        <w:rPr>
          <w:color w:val="000000"/>
          <w:sz w:val="22"/>
          <w:szCs w:val="22"/>
        </w:rPr>
        <w:t>hemostasis</w:t>
      </w:r>
      <w:proofErr w:type="spellEnd"/>
      <w:r w:rsidRPr="0019234B">
        <w:rPr>
          <w:color w:val="000000"/>
          <w:sz w:val="22"/>
          <w:szCs w:val="22"/>
        </w:rPr>
        <w:t xml:space="preserve"> was achieved through the introduction of a microcatheter. The </w:t>
      </w:r>
      <w:proofErr w:type="spellStart"/>
      <w:r w:rsidRPr="0019234B">
        <w:rPr>
          <w:color w:val="000000"/>
          <w:sz w:val="22"/>
          <w:szCs w:val="22"/>
        </w:rPr>
        <w:t>Spetzler</w:t>
      </w:r>
      <w:proofErr w:type="spellEnd"/>
      <w:r w:rsidRPr="0019234B">
        <w:rPr>
          <w:color w:val="000000"/>
          <w:sz w:val="22"/>
          <w:szCs w:val="22"/>
        </w:rPr>
        <w:t xml:space="preserve"> categorization, essential for guiding blood evacuation if necessary, should be consistently considered when excising AVMs according to their location, size, and extension.</w:t>
      </w:r>
      <w:r w:rsidR="004E67CD" w:rsidRPr="004E67CD">
        <w:rPr>
          <w:color w:val="000000"/>
          <w:sz w:val="22"/>
          <w:szCs w:val="22"/>
        </w:rPr>
        <w:t>.</w:t>
      </w:r>
    </w:p>
    <w:p w14:paraId="5C9D6E17" w14:textId="0E458F1F" w:rsidR="00E14EC1" w:rsidRDefault="00E14EC1" w:rsidP="00E14EC1">
      <w:pPr>
        <w:pStyle w:val="ListParagraph"/>
        <w:spacing w:before="240" w:after="120" w:line="276" w:lineRule="auto"/>
        <w:ind w:left="0"/>
        <w:contextualSpacing w:val="0"/>
        <w:jc w:val="both"/>
        <w:rPr>
          <w:rFonts w:ascii="Times New Roman" w:hAnsi="Times New Roman" w:cs="Times New Roman"/>
          <w:b/>
          <w:bCs/>
          <w:sz w:val="22"/>
          <w:szCs w:val="22"/>
        </w:rPr>
      </w:pPr>
      <w:r>
        <w:rPr>
          <w:rFonts w:ascii="Times New Roman" w:hAnsi="Times New Roman" w:cs="Times New Roman"/>
          <w:b/>
          <w:bCs/>
          <w:sz w:val="22"/>
          <w:szCs w:val="22"/>
        </w:rPr>
        <w:t>Acknowledgements</w:t>
      </w:r>
    </w:p>
    <w:p w14:paraId="650C2EDF" w14:textId="4BE85B2E" w:rsidR="00E14EC1" w:rsidRPr="00E14EC1" w:rsidRDefault="00E14EC1" w:rsidP="00E14EC1">
      <w:pPr>
        <w:spacing w:line="276" w:lineRule="auto"/>
        <w:jc w:val="both"/>
        <w:rPr>
          <w:sz w:val="22"/>
          <w:szCs w:val="22"/>
        </w:rPr>
      </w:pPr>
      <w:r w:rsidRPr="00E14EC1">
        <w:rPr>
          <w:sz w:val="22"/>
          <w:szCs w:val="22"/>
        </w:rPr>
        <w:t>The authors sincerely thank the patient for their willingness to share their clinical data for medical education and research. We also acknowledge the clinical staff at the treating institution for their invaluable contributions to patient management and data collection.</w:t>
      </w:r>
    </w:p>
    <w:p w14:paraId="10D81817" w14:textId="56290560" w:rsidR="00E14EC1" w:rsidRDefault="00E14EC1" w:rsidP="00E14EC1">
      <w:pPr>
        <w:pStyle w:val="ListParagraph"/>
        <w:spacing w:before="240" w:after="120" w:line="276" w:lineRule="auto"/>
        <w:ind w:left="0"/>
        <w:contextualSpacing w:val="0"/>
        <w:jc w:val="both"/>
        <w:rPr>
          <w:rFonts w:ascii="Times New Roman" w:hAnsi="Times New Roman" w:cs="Times New Roman"/>
          <w:b/>
          <w:bCs/>
          <w:sz w:val="22"/>
          <w:szCs w:val="22"/>
        </w:rPr>
      </w:pPr>
      <w:r>
        <w:rPr>
          <w:rFonts w:ascii="Times New Roman" w:hAnsi="Times New Roman" w:cs="Times New Roman"/>
          <w:b/>
          <w:bCs/>
          <w:sz w:val="22"/>
          <w:szCs w:val="22"/>
        </w:rPr>
        <w:t>Conflict of Interest</w:t>
      </w:r>
    </w:p>
    <w:p w14:paraId="75360E78" w14:textId="77777777" w:rsidR="00302DD6" w:rsidRDefault="00302DD6" w:rsidP="006D502F">
      <w:pPr>
        <w:spacing w:line="360" w:lineRule="auto"/>
        <w:jc w:val="both"/>
        <w:rPr>
          <w:rFonts w:ascii="Times" w:hAnsi="Times"/>
          <w:color w:val="000000"/>
          <w:sz w:val="22"/>
          <w:szCs w:val="22"/>
        </w:rPr>
      </w:pPr>
      <w:r w:rsidRPr="00302DD6">
        <w:rPr>
          <w:rFonts w:ascii="Times" w:hAnsi="Times"/>
          <w:color w:val="000000"/>
          <w:sz w:val="22"/>
          <w:szCs w:val="22"/>
        </w:rPr>
        <w:t>The authors declare that there is no competing interest in this research.</w:t>
      </w:r>
    </w:p>
    <w:p w14:paraId="63945CA8" w14:textId="77777777" w:rsidR="00302DD6" w:rsidRPr="00302DD6" w:rsidRDefault="00302DD6" w:rsidP="00302DD6">
      <w:pPr>
        <w:spacing w:line="360" w:lineRule="auto"/>
        <w:jc w:val="both"/>
        <w:rPr>
          <w:rFonts w:ascii="Times" w:hAnsi="Times"/>
          <w:color w:val="000000"/>
          <w:sz w:val="22"/>
          <w:szCs w:val="22"/>
        </w:rPr>
      </w:pPr>
    </w:p>
    <w:p w14:paraId="5B9F1473" w14:textId="4991A665" w:rsidR="0031367A" w:rsidRPr="006D502F" w:rsidRDefault="0031367A" w:rsidP="006F719B">
      <w:pPr>
        <w:spacing w:after="120" w:line="276" w:lineRule="auto"/>
        <w:jc w:val="both"/>
        <w:rPr>
          <w:b/>
          <w:bCs/>
          <w:sz w:val="22"/>
          <w:szCs w:val="22"/>
        </w:rPr>
      </w:pPr>
      <w:r w:rsidRPr="006D502F">
        <w:rPr>
          <w:b/>
          <w:bCs/>
          <w:sz w:val="22"/>
          <w:szCs w:val="22"/>
        </w:rPr>
        <w:t>References</w:t>
      </w:r>
    </w:p>
    <w:p w14:paraId="02C41C7A" w14:textId="7E81480E" w:rsidR="0019234B" w:rsidRPr="0019234B" w:rsidRDefault="0019234B" w:rsidP="0019234B">
      <w:pPr>
        <w:pStyle w:val="ListParagraph"/>
        <w:numPr>
          <w:ilvl w:val="0"/>
          <w:numId w:val="10"/>
        </w:numPr>
        <w:spacing w:line="276" w:lineRule="auto"/>
        <w:ind w:hanging="436"/>
        <w:jc w:val="both"/>
        <w:rPr>
          <w:rFonts w:ascii="Times New Roman" w:hAnsi="Times New Roman" w:cs="Times New Roman"/>
          <w:sz w:val="22"/>
          <w:szCs w:val="22"/>
          <w:lang w:val="en-US"/>
        </w:rPr>
      </w:pPr>
      <w:r w:rsidRPr="0019234B">
        <w:rPr>
          <w:rFonts w:ascii="Times New Roman" w:hAnsi="Times New Roman" w:cs="Times New Roman"/>
          <w:sz w:val="22"/>
          <w:szCs w:val="22"/>
          <w:lang w:val="en-US"/>
        </w:rPr>
        <w:t xml:space="preserve">Li Z, Ma L, Wu C, Ma J, Chen X. Pediatric brain arteriovenous malformation unfavorable hemorrhage risk: extrapolation to a morphologic model. Chin </w:t>
      </w:r>
      <w:proofErr w:type="spellStart"/>
      <w:r w:rsidRPr="0019234B">
        <w:rPr>
          <w:rFonts w:ascii="Times New Roman" w:hAnsi="Times New Roman" w:cs="Times New Roman"/>
          <w:sz w:val="22"/>
          <w:szCs w:val="22"/>
          <w:lang w:val="en-US"/>
        </w:rPr>
        <w:t>Neurosurg</w:t>
      </w:r>
      <w:proofErr w:type="spellEnd"/>
      <w:r w:rsidRPr="0019234B">
        <w:rPr>
          <w:rFonts w:ascii="Times New Roman" w:hAnsi="Times New Roman" w:cs="Times New Roman"/>
          <w:sz w:val="22"/>
          <w:szCs w:val="22"/>
          <w:lang w:val="en-US"/>
        </w:rPr>
        <w:t xml:space="preserve"> J. 2018;4(1):15. </w:t>
      </w:r>
    </w:p>
    <w:p w14:paraId="38852E17" w14:textId="73FAB340" w:rsidR="0019234B" w:rsidRPr="0019234B" w:rsidRDefault="0019234B" w:rsidP="0019234B">
      <w:pPr>
        <w:pStyle w:val="ListParagraph"/>
        <w:numPr>
          <w:ilvl w:val="0"/>
          <w:numId w:val="10"/>
        </w:numPr>
        <w:spacing w:line="276" w:lineRule="auto"/>
        <w:ind w:hanging="436"/>
        <w:jc w:val="both"/>
        <w:rPr>
          <w:rFonts w:ascii="Times New Roman" w:hAnsi="Times New Roman" w:cs="Times New Roman"/>
          <w:sz w:val="22"/>
          <w:szCs w:val="22"/>
          <w:lang w:val="en-US"/>
        </w:rPr>
      </w:pPr>
      <w:proofErr w:type="spellStart"/>
      <w:r w:rsidRPr="0019234B">
        <w:rPr>
          <w:rFonts w:ascii="Times New Roman" w:hAnsi="Times New Roman" w:cs="Times New Roman"/>
          <w:sz w:val="22"/>
          <w:szCs w:val="22"/>
          <w:lang w:val="en-US"/>
        </w:rPr>
        <w:t>LoPresti</w:t>
      </w:r>
      <w:proofErr w:type="spellEnd"/>
      <w:r w:rsidRPr="0019234B">
        <w:rPr>
          <w:rFonts w:ascii="Times New Roman" w:hAnsi="Times New Roman" w:cs="Times New Roman"/>
          <w:sz w:val="22"/>
          <w:szCs w:val="22"/>
          <w:lang w:val="en-US"/>
        </w:rPr>
        <w:t xml:space="preserve"> MA, </w:t>
      </w:r>
      <w:proofErr w:type="spellStart"/>
      <w:r w:rsidRPr="0019234B">
        <w:rPr>
          <w:rFonts w:ascii="Times New Roman" w:hAnsi="Times New Roman" w:cs="Times New Roman"/>
          <w:sz w:val="22"/>
          <w:szCs w:val="22"/>
          <w:lang w:val="en-US"/>
        </w:rPr>
        <w:t>Giridharan</w:t>
      </w:r>
      <w:proofErr w:type="spellEnd"/>
      <w:r w:rsidRPr="0019234B">
        <w:rPr>
          <w:rFonts w:ascii="Times New Roman" w:hAnsi="Times New Roman" w:cs="Times New Roman"/>
          <w:sz w:val="22"/>
          <w:szCs w:val="22"/>
          <w:lang w:val="en-US"/>
        </w:rPr>
        <w:t xml:space="preserve"> N, </w:t>
      </w:r>
      <w:proofErr w:type="spellStart"/>
      <w:r w:rsidRPr="0019234B">
        <w:rPr>
          <w:rFonts w:ascii="Times New Roman" w:hAnsi="Times New Roman" w:cs="Times New Roman"/>
          <w:sz w:val="22"/>
          <w:szCs w:val="22"/>
          <w:lang w:val="en-US"/>
        </w:rPr>
        <w:t>Pyarali</w:t>
      </w:r>
      <w:proofErr w:type="spellEnd"/>
      <w:r w:rsidRPr="0019234B">
        <w:rPr>
          <w:rFonts w:ascii="Times New Roman" w:hAnsi="Times New Roman" w:cs="Times New Roman"/>
          <w:sz w:val="22"/>
          <w:szCs w:val="22"/>
          <w:lang w:val="en-US"/>
        </w:rPr>
        <w:t xml:space="preserve"> M, </w:t>
      </w:r>
      <w:proofErr w:type="spellStart"/>
      <w:r w:rsidRPr="0019234B">
        <w:rPr>
          <w:rFonts w:ascii="Times New Roman" w:hAnsi="Times New Roman" w:cs="Times New Roman"/>
          <w:sz w:val="22"/>
          <w:szCs w:val="22"/>
          <w:lang w:val="en-US"/>
        </w:rPr>
        <w:t>Gadgil</w:t>
      </w:r>
      <w:proofErr w:type="spellEnd"/>
      <w:r w:rsidRPr="0019234B">
        <w:rPr>
          <w:rFonts w:ascii="Times New Roman" w:hAnsi="Times New Roman" w:cs="Times New Roman"/>
          <w:sz w:val="22"/>
          <w:szCs w:val="22"/>
          <w:lang w:val="en-US"/>
        </w:rPr>
        <w:t xml:space="preserve"> N, Kan PT, </w:t>
      </w:r>
      <w:proofErr w:type="spellStart"/>
      <w:r w:rsidRPr="0019234B">
        <w:rPr>
          <w:rFonts w:ascii="Times New Roman" w:hAnsi="Times New Roman" w:cs="Times New Roman"/>
          <w:sz w:val="22"/>
          <w:szCs w:val="22"/>
          <w:lang w:val="en-US"/>
        </w:rPr>
        <w:t>Niedzwiecki</w:t>
      </w:r>
      <w:proofErr w:type="spellEnd"/>
      <w:r w:rsidRPr="0019234B">
        <w:rPr>
          <w:rFonts w:ascii="Times New Roman" w:hAnsi="Times New Roman" w:cs="Times New Roman"/>
          <w:sz w:val="22"/>
          <w:szCs w:val="22"/>
          <w:lang w:val="en-US"/>
        </w:rPr>
        <w:t xml:space="preserve"> C, et al. Pediatric intracranial arteriovenous malformations: examining rehabilitation outcomes. PM R. 2020;13(1):7–15. </w:t>
      </w:r>
    </w:p>
    <w:p w14:paraId="684603EB" w14:textId="76FD0A28" w:rsidR="0019234B" w:rsidRPr="0019234B" w:rsidRDefault="0019234B" w:rsidP="0019234B">
      <w:pPr>
        <w:pStyle w:val="ListParagraph"/>
        <w:numPr>
          <w:ilvl w:val="0"/>
          <w:numId w:val="10"/>
        </w:numPr>
        <w:spacing w:line="276" w:lineRule="auto"/>
        <w:ind w:hanging="436"/>
        <w:jc w:val="both"/>
        <w:rPr>
          <w:rFonts w:ascii="Times New Roman" w:hAnsi="Times New Roman" w:cs="Times New Roman"/>
          <w:sz w:val="22"/>
          <w:szCs w:val="22"/>
          <w:lang w:val="en-US"/>
        </w:rPr>
      </w:pPr>
      <w:proofErr w:type="spellStart"/>
      <w:r w:rsidRPr="0019234B">
        <w:rPr>
          <w:rFonts w:ascii="Times New Roman" w:hAnsi="Times New Roman" w:cs="Times New Roman"/>
          <w:sz w:val="22"/>
          <w:szCs w:val="22"/>
          <w:lang w:val="en-US"/>
        </w:rPr>
        <w:lastRenderedPageBreak/>
        <w:t>Jhaveri</w:t>
      </w:r>
      <w:proofErr w:type="spellEnd"/>
      <w:r w:rsidRPr="0019234B">
        <w:rPr>
          <w:rFonts w:ascii="Times New Roman" w:hAnsi="Times New Roman" w:cs="Times New Roman"/>
          <w:sz w:val="22"/>
          <w:szCs w:val="22"/>
          <w:lang w:val="en-US"/>
        </w:rPr>
        <w:t xml:space="preserve"> A, </w:t>
      </w:r>
      <w:proofErr w:type="spellStart"/>
      <w:r w:rsidRPr="0019234B">
        <w:rPr>
          <w:rFonts w:ascii="Times New Roman" w:hAnsi="Times New Roman" w:cs="Times New Roman"/>
          <w:sz w:val="22"/>
          <w:szCs w:val="22"/>
          <w:lang w:val="en-US"/>
        </w:rPr>
        <w:t>Amirabadi</w:t>
      </w:r>
      <w:proofErr w:type="spellEnd"/>
      <w:r w:rsidRPr="0019234B">
        <w:rPr>
          <w:rFonts w:ascii="Times New Roman" w:hAnsi="Times New Roman" w:cs="Times New Roman"/>
          <w:sz w:val="22"/>
          <w:szCs w:val="22"/>
          <w:lang w:val="en-US"/>
        </w:rPr>
        <w:t xml:space="preserve"> A, Dirks P, Kulkarni AV, Shroff MM, </w:t>
      </w:r>
      <w:proofErr w:type="spellStart"/>
      <w:r w:rsidRPr="0019234B">
        <w:rPr>
          <w:rFonts w:ascii="Times New Roman" w:hAnsi="Times New Roman" w:cs="Times New Roman"/>
          <w:sz w:val="22"/>
          <w:szCs w:val="22"/>
          <w:lang w:val="en-US"/>
        </w:rPr>
        <w:t>Shkumat</w:t>
      </w:r>
      <w:proofErr w:type="spellEnd"/>
      <w:r w:rsidRPr="0019234B">
        <w:rPr>
          <w:rFonts w:ascii="Times New Roman" w:hAnsi="Times New Roman" w:cs="Times New Roman"/>
          <w:sz w:val="22"/>
          <w:szCs w:val="22"/>
          <w:lang w:val="en-US"/>
        </w:rPr>
        <w:t xml:space="preserve"> N, et al. Predictive value of MRI in diagnosing brain AVM recurrence after angiographically documented exclusion in children. AJNR Am J </w:t>
      </w:r>
      <w:proofErr w:type="spellStart"/>
      <w:r w:rsidRPr="0019234B">
        <w:rPr>
          <w:rFonts w:ascii="Times New Roman" w:hAnsi="Times New Roman" w:cs="Times New Roman"/>
          <w:sz w:val="22"/>
          <w:szCs w:val="22"/>
          <w:lang w:val="en-US"/>
        </w:rPr>
        <w:t>Neuroradiol</w:t>
      </w:r>
      <w:proofErr w:type="spellEnd"/>
      <w:r w:rsidRPr="0019234B">
        <w:rPr>
          <w:rFonts w:ascii="Times New Roman" w:hAnsi="Times New Roman" w:cs="Times New Roman"/>
          <w:sz w:val="22"/>
          <w:szCs w:val="22"/>
          <w:lang w:val="en-US"/>
        </w:rPr>
        <w:t xml:space="preserve">. 2019;40(7):1227–35. </w:t>
      </w:r>
    </w:p>
    <w:p w14:paraId="61113DDD" w14:textId="1C8C8A59" w:rsidR="0019234B" w:rsidRPr="0019234B" w:rsidRDefault="0019234B" w:rsidP="0019234B">
      <w:pPr>
        <w:pStyle w:val="ListParagraph"/>
        <w:numPr>
          <w:ilvl w:val="0"/>
          <w:numId w:val="10"/>
        </w:numPr>
        <w:spacing w:line="276" w:lineRule="auto"/>
        <w:ind w:hanging="436"/>
        <w:jc w:val="both"/>
        <w:rPr>
          <w:rFonts w:ascii="Times New Roman" w:hAnsi="Times New Roman" w:cs="Times New Roman"/>
          <w:sz w:val="22"/>
          <w:szCs w:val="22"/>
          <w:lang w:val="en-US"/>
        </w:rPr>
      </w:pPr>
      <w:proofErr w:type="spellStart"/>
      <w:r w:rsidRPr="0019234B">
        <w:rPr>
          <w:rFonts w:ascii="Times New Roman" w:hAnsi="Times New Roman" w:cs="Times New Roman"/>
          <w:sz w:val="22"/>
          <w:szCs w:val="22"/>
          <w:lang w:val="en-US"/>
        </w:rPr>
        <w:t>Shtaya</w:t>
      </w:r>
      <w:proofErr w:type="spellEnd"/>
      <w:r w:rsidRPr="0019234B">
        <w:rPr>
          <w:rFonts w:ascii="Times New Roman" w:hAnsi="Times New Roman" w:cs="Times New Roman"/>
          <w:sz w:val="22"/>
          <w:szCs w:val="22"/>
          <w:lang w:val="en-US"/>
        </w:rPr>
        <w:t xml:space="preserve"> A, Millar J, Sparrow O. Multimodality management and outcomes of brain arteriovenous malformations in children: personal experience and review of the literature, with specific emphasis on age at first AVM bleed. Childs </w:t>
      </w:r>
      <w:proofErr w:type="spellStart"/>
      <w:r w:rsidRPr="0019234B">
        <w:rPr>
          <w:rFonts w:ascii="Times New Roman" w:hAnsi="Times New Roman" w:cs="Times New Roman"/>
          <w:sz w:val="22"/>
          <w:szCs w:val="22"/>
          <w:lang w:val="en-US"/>
        </w:rPr>
        <w:t>Nerv</w:t>
      </w:r>
      <w:proofErr w:type="spellEnd"/>
      <w:r w:rsidRPr="0019234B">
        <w:rPr>
          <w:rFonts w:ascii="Times New Roman" w:hAnsi="Times New Roman" w:cs="Times New Roman"/>
          <w:sz w:val="22"/>
          <w:szCs w:val="22"/>
          <w:lang w:val="en-US"/>
        </w:rPr>
        <w:t xml:space="preserve"> Syst. 2017;33(4):573–81. </w:t>
      </w:r>
    </w:p>
    <w:p w14:paraId="6D7F2BE9" w14:textId="0888DA6B" w:rsidR="0019234B" w:rsidRPr="0019234B" w:rsidRDefault="0019234B" w:rsidP="0019234B">
      <w:pPr>
        <w:pStyle w:val="ListParagraph"/>
        <w:numPr>
          <w:ilvl w:val="0"/>
          <w:numId w:val="10"/>
        </w:numPr>
        <w:spacing w:line="276" w:lineRule="auto"/>
        <w:ind w:hanging="436"/>
        <w:jc w:val="both"/>
        <w:rPr>
          <w:rFonts w:ascii="Times New Roman" w:hAnsi="Times New Roman" w:cs="Times New Roman"/>
          <w:sz w:val="22"/>
          <w:szCs w:val="22"/>
          <w:lang w:val="en-US"/>
        </w:rPr>
      </w:pPr>
      <w:r w:rsidRPr="0019234B">
        <w:rPr>
          <w:rFonts w:ascii="Times New Roman" w:hAnsi="Times New Roman" w:cs="Times New Roman"/>
          <w:sz w:val="22"/>
          <w:szCs w:val="22"/>
          <w:lang w:val="en-US"/>
        </w:rPr>
        <w:t xml:space="preserve">Dalton A, Dobson G, Prasad M, Mukerji N. De novo intracerebral arteriovenous malformations and a review of the theories of their formation. Br J </w:t>
      </w:r>
      <w:proofErr w:type="spellStart"/>
      <w:r w:rsidRPr="0019234B">
        <w:rPr>
          <w:rFonts w:ascii="Times New Roman" w:hAnsi="Times New Roman" w:cs="Times New Roman"/>
          <w:sz w:val="22"/>
          <w:szCs w:val="22"/>
          <w:lang w:val="en-US"/>
        </w:rPr>
        <w:t>Neurosurg</w:t>
      </w:r>
      <w:proofErr w:type="spellEnd"/>
      <w:r w:rsidRPr="0019234B">
        <w:rPr>
          <w:rFonts w:ascii="Times New Roman" w:hAnsi="Times New Roman" w:cs="Times New Roman"/>
          <w:sz w:val="22"/>
          <w:szCs w:val="22"/>
          <w:lang w:val="en-US"/>
        </w:rPr>
        <w:t xml:space="preserve">. 2018;32(3):305–11. </w:t>
      </w:r>
    </w:p>
    <w:p w14:paraId="42C487AD" w14:textId="009AF75B" w:rsidR="0019234B" w:rsidRPr="0019234B" w:rsidRDefault="0019234B" w:rsidP="0019234B">
      <w:pPr>
        <w:pStyle w:val="ListParagraph"/>
        <w:numPr>
          <w:ilvl w:val="0"/>
          <w:numId w:val="10"/>
        </w:numPr>
        <w:spacing w:line="276" w:lineRule="auto"/>
        <w:ind w:hanging="436"/>
        <w:jc w:val="both"/>
        <w:rPr>
          <w:rFonts w:ascii="Times New Roman" w:hAnsi="Times New Roman" w:cs="Times New Roman"/>
          <w:sz w:val="22"/>
          <w:szCs w:val="22"/>
          <w:lang w:val="en-US"/>
        </w:rPr>
      </w:pPr>
      <w:proofErr w:type="spellStart"/>
      <w:r w:rsidRPr="0019234B">
        <w:rPr>
          <w:rFonts w:ascii="Times New Roman" w:hAnsi="Times New Roman" w:cs="Times New Roman"/>
          <w:sz w:val="22"/>
          <w:szCs w:val="22"/>
          <w:lang w:val="en-US"/>
        </w:rPr>
        <w:t>Uller</w:t>
      </w:r>
      <w:proofErr w:type="spellEnd"/>
      <w:r w:rsidRPr="0019234B">
        <w:rPr>
          <w:rFonts w:ascii="Times New Roman" w:hAnsi="Times New Roman" w:cs="Times New Roman"/>
          <w:sz w:val="22"/>
          <w:szCs w:val="22"/>
          <w:lang w:val="en-US"/>
        </w:rPr>
        <w:t xml:space="preserve"> W, </w:t>
      </w:r>
      <w:proofErr w:type="spellStart"/>
      <w:r w:rsidRPr="0019234B">
        <w:rPr>
          <w:rFonts w:ascii="Times New Roman" w:hAnsi="Times New Roman" w:cs="Times New Roman"/>
          <w:sz w:val="22"/>
          <w:szCs w:val="22"/>
          <w:lang w:val="en-US"/>
        </w:rPr>
        <w:t>Alomari</w:t>
      </w:r>
      <w:proofErr w:type="spellEnd"/>
      <w:r w:rsidRPr="0019234B">
        <w:rPr>
          <w:rFonts w:ascii="Times New Roman" w:hAnsi="Times New Roman" w:cs="Times New Roman"/>
          <w:sz w:val="22"/>
          <w:szCs w:val="22"/>
          <w:lang w:val="en-US"/>
        </w:rPr>
        <w:t xml:space="preserve"> AI, Richter GT. Arteriovenous malformations. Semin </w:t>
      </w:r>
      <w:proofErr w:type="spellStart"/>
      <w:r w:rsidRPr="0019234B">
        <w:rPr>
          <w:rFonts w:ascii="Times New Roman" w:hAnsi="Times New Roman" w:cs="Times New Roman"/>
          <w:sz w:val="22"/>
          <w:szCs w:val="22"/>
          <w:lang w:val="en-US"/>
        </w:rPr>
        <w:t>Pediatr</w:t>
      </w:r>
      <w:proofErr w:type="spellEnd"/>
      <w:r w:rsidRPr="0019234B">
        <w:rPr>
          <w:rFonts w:ascii="Times New Roman" w:hAnsi="Times New Roman" w:cs="Times New Roman"/>
          <w:sz w:val="22"/>
          <w:szCs w:val="22"/>
          <w:lang w:val="en-US"/>
        </w:rPr>
        <w:t xml:space="preserve"> Surg. 2014;23(4):203–7. </w:t>
      </w:r>
    </w:p>
    <w:p w14:paraId="0895BF68" w14:textId="68C5D634" w:rsidR="0019234B" w:rsidRPr="0019234B" w:rsidRDefault="0019234B" w:rsidP="0019234B">
      <w:pPr>
        <w:pStyle w:val="ListParagraph"/>
        <w:numPr>
          <w:ilvl w:val="0"/>
          <w:numId w:val="10"/>
        </w:numPr>
        <w:spacing w:line="276" w:lineRule="auto"/>
        <w:ind w:hanging="436"/>
        <w:jc w:val="both"/>
        <w:rPr>
          <w:rFonts w:ascii="Times New Roman" w:hAnsi="Times New Roman" w:cs="Times New Roman"/>
          <w:sz w:val="22"/>
          <w:szCs w:val="22"/>
          <w:lang w:val="en-US"/>
        </w:rPr>
      </w:pPr>
      <w:r w:rsidRPr="0019234B">
        <w:rPr>
          <w:rFonts w:ascii="Times New Roman" w:hAnsi="Times New Roman" w:cs="Times New Roman"/>
          <w:sz w:val="22"/>
          <w:szCs w:val="22"/>
          <w:lang w:val="en-US"/>
        </w:rPr>
        <w:t xml:space="preserve">Hsiao MC, </w:t>
      </w:r>
      <w:proofErr w:type="spellStart"/>
      <w:r w:rsidRPr="0019234B">
        <w:rPr>
          <w:rFonts w:ascii="Times New Roman" w:hAnsi="Times New Roman" w:cs="Times New Roman"/>
          <w:sz w:val="22"/>
          <w:szCs w:val="22"/>
          <w:lang w:val="en-US"/>
        </w:rPr>
        <w:t>Tsuei</w:t>
      </w:r>
      <w:proofErr w:type="spellEnd"/>
      <w:r w:rsidRPr="0019234B">
        <w:rPr>
          <w:rFonts w:ascii="Times New Roman" w:hAnsi="Times New Roman" w:cs="Times New Roman"/>
          <w:sz w:val="22"/>
          <w:szCs w:val="22"/>
          <w:lang w:val="en-US"/>
        </w:rPr>
        <w:t xml:space="preserve"> YS, Pan HC, Sun MH, Chen WH, Chen HC, et al. Long-term outcomes of pediatric cerebral arteriovenous malformations: a ten-year single-center retrospective study. </w:t>
      </w:r>
      <w:proofErr w:type="spellStart"/>
      <w:r w:rsidRPr="0019234B">
        <w:rPr>
          <w:rFonts w:ascii="Times New Roman" w:hAnsi="Times New Roman" w:cs="Times New Roman"/>
          <w:sz w:val="22"/>
          <w:szCs w:val="22"/>
          <w:lang w:val="en-US"/>
        </w:rPr>
        <w:t>Medicina</w:t>
      </w:r>
      <w:proofErr w:type="spellEnd"/>
      <w:r w:rsidRPr="0019234B">
        <w:rPr>
          <w:rFonts w:ascii="Times New Roman" w:hAnsi="Times New Roman" w:cs="Times New Roman"/>
          <w:sz w:val="22"/>
          <w:szCs w:val="22"/>
          <w:lang w:val="en-US"/>
        </w:rPr>
        <w:t xml:space="preserve"> (Kaunas). 2025;61(7):1177. </w:t>
      </w:r>
    </w:p>
    <w:p w14:paraId="73DCBE29" w14:textId="3D64EC0D" w:rsidR="0019234B" w:rsidRPr="0019234B" w:rsidRDefault="0019234B" w:rsidP="0019234B">
      <w:pPr>
        <w:pStyle w:val="ListParagraph"/>
        <w:numPr>
          <w:ilvl w:val="0"/>
          <w:numId w:val="10"/>
        </w:numPr>
        <w:spacing w:line="276" w:lineRule="auto"/>
        <w:ind w:hanging="436"/>
        <w:jc w:val="both"/>
        <w:rPr>
          <w:rFonts w:ascii="Times New Roman" w:hAnsi="Times New Roman" w:cs="Times New Roman"/>
          <w:sz w:val="22"/>
          <w:szCs w:val="22"/>
          <w:lang w:val="en-US"/>
        </w:rPr>
      </w:pPr>
      <w:r w:rsidRPr="0019234B">
        <w:rPr>
          <w:rFonts w:ascii="Times New Roman" w:hAnsi="Times New Roman" w:cs="Times New Roman"/>
          <w:sz w:val="22"/>
          <w:szCs w:val="22"/>
          <w:lang w:val="en-US"/>
        </w:rPr>
        <w:t xml:space="preserve">El-Ghanem M, </w:t>
      </w:r>
      <w:proofErr w:type="spellStart"/>
      <w:r w:rsidRPr="0019234B">
        <w:rPr>
          <w:rFonts w:ascii="Times New Roman" w:hAnsi="Times New Roman" w:cs="Times New Roman"/>
          <w:sz w:val="22"/>
          <w:szCs w:val="22"/>
          <w:lang w:val="en-US"/>
        </w:rPr>
        <w:t>Kass-Hout</w:t>
      </w:r>
      <w:proofErr w:type="spellEnd"/>
      <w:r w:rsidRPr="0019234B">
        <w:rPr>
          <w:rFonts w:ascii="Times New Roman" w:hAnsi="Times New Roman" w:cs="Times New Roman"/>
          <w:sz w:val="22"/>
          <w:szCs w:val="22"/>
          <w:lang w:val="en-US"/>
        </w:rPr>
        <w:t xml:space="preserve"> T, </w:t>
      </w:r>
      <w:proofErr w:type="spellStart"/>
      <w:r w:rsidRPr="0019234B">
        <w:rPr>
          <w:rFonts w:ascii="Times New Roman" w:hAnsi="Times New Roman" w:cs="Times New Roman"/>
          <w:sz w:val="22"/>
          <w:szCs w:val="22"/>
          <w:lang w:val="en-US"/>
        </w:rPr>
        <w:t>Kass-Hout</w:t>
      </w:r>
      <w:proofErr w:type="spellEnd"/>
      <w:r w:rsidRPr="0019234B">
        <w:rPr>
          <w:rFonts w:ascii="Times New Roman" w:hAnsi="Times New Roman" w:cs="Times New Roman"/>
          <w:sz w:val="22"/>
          <w:szCs w:val="22"/>
          <w:lang w:val="en-US"/>
        </w:rPr>
        <w:t xml:space="preserve"> O, </w:t>
      </w:r>
      <w:proofErr w:type="spellStart"/>
      <w:r w:rsidRPr="0019234B">
        <w:rPr>
          <w:rFonts w:ascii="Times New Roman" w:hAnsi="Times New Roman" w:cs="Times New Roman"/>
          <w:sz w:val="22"/>
          <w:szCs w:val="22"/>
          <w:lang w:val="en-US"/>
        </w:rPr>
        <w:t>Alderazi</w:t>
      </w:r>
      <w:proofErr w:type="spellEnd"/>
      <w:r w:rsidRPr="0019234B">
        <w:rPr>
          <w:rFonts w:ascii="Times New Roman" w:hAnsi="Times New Roman" w:cs="Times New Roman"/>
          <w:sz w:val="22"/>
          <w:szCs w:val="22"/>
          <w:lang w:val="en-US"/>
        </w:rPr>
        <w:t xml:space="preserve"> YJ, </w:t>
      </w:r>
      <w:proofErr w:type="spellStart"/>
      <w:r w:rsidRPr="0019234B">
        <w:rPr>
          <w:rFonts w:ascii="Times New Roman" w:hAnsi="Times New Roman" w:cs="Times New Roman"/>
          <w:sz w:val="22"/>
          <w:szCs w:val="22"/>
          <w:lang w:val="en-US"/>
        </w:rPr>
        <w:t>Amuluru</w:t>
      </w:r>
      <w:proofErr w:type="spellEnd"/>
      <w:r w:rsidRPr="0019234B">
        <w:rPr>
          <w:rFonts w:ascii="Times New Roman" w:hAnsi="Times New Roman" w:cs="Times New Roman"/>
          <w:sz w:val="22"/>
          <w:szCs w:val="22"/>
          <w:lang w:val="en-US"/>
        </w:rPr>
        <w:t xml:space="preserve"> K, Al-Mufti F, et al. Arteriovenous malformations in the pediatric population: review of the existing literature. </w:t>
      </w:r>
      <w:proofErr w:type="spellStart"/>
      <w:r w:rsidRPr="0019234B">
        <w:rPr>
          <w:rFonts w:ascii="Times New Roman" w:hAnsi="Times New Roman" w:cs="Times New Roman"/>
          <w:sz w:val="22"/>
          <w:szCs w:val="22"/>
          <w:lang w:val="en-US"/>
        </w:rPr>
        <w:t>Interv</w:t>
      </w:r>
      <w:proofErr w:type="spellEnd"/>
      <w:r w:rsidRPr="0019234B">
        <w:rPr>
          <w:rFonts w:ascii="Times New Roman" w:hAnsi="Times New Roman" w:cs="Times New Roman"/>
          <w:sz w:val="22"/>
          <w:szCs w:val="22"/>
          <w:lang w:val="en-US"/>
        </w:rPr>
        <w:t xml:space="preserve"> Neurol. 2016;5(3-4):218–25. </w:t>
      </w:r>
    </w:p>
    <w:p w14:paraId="767832BD" w14:textId="53E24438" w:rsidR="0019234B" w:rsidRPr="0019234B" w:rsidRDefault="0019234B" w:rsidP="0019234B">
      <w:pPr>
        <w:pStyle w:val="ListParagraph"/>
        <w:numPr>
          <w:ilvl w:val="0"/>
          <w:numId w:val="10"/>
        </w:numPr>
        <w:spacing w:line="276" w:lineRule="auto"/>
        <w:ind w:hanging="436"/>
        <w:jc w:val="both"/>
        <w:rPr>
          <w:rFonts w:ascii="Times New Roman" w:hAnsi="Times New Roman" w:cs="Times New Roman"/>
          <w:sz w:val="22"/>
          <w:szCs w:val="22"/>
          <w:lang w:val="en-US"/>
        </w:rPr>
      </w:pPr>
      <w:proofErr w:type="spellStart"/>
      <w:r w:rsidRPr="0019234B">
        <w:rPr>
          <w:rFonts w:ascii="Times New Roman" w:hAnsi="Times New Roman" w:cs="Times New Roman"/>
          <w:sz w:val="22"/>
          <w:szCs w:val="22"/>
          <w:lang w:val="en-US"/>
        </w:rPr>
        <w:t>Rangwala</w:t>
      </w:r>
      <w:proofErr w:type="spellEnd"/>
      <w:r w:rsidRPr="0019234B">
        <w:rPr>
          <w:rFonts w:ascii="Times New Roman" w:hAnsi="Times New Roman" w:cs="Times New Roman"/>
          <w:sz w:val="22"/>
          <w:szCs w:val="22"/>
          <w:lang w:val="en-US"/>
        </w:rPr>
        <w:t xml:space="preserve"> SD, Albanese JS, Slingerland AL, Papadakis JE, Weber DS, Smith ER, et al. External validation of the R2eD AVM scoring system to assess rupture risk in pediatric AVM patients. J </w:t>
      </w:r>
      <w:proofErr w:type="spellStart"/>
      <w:r w:rsidRPr="0019234B">
        <w:rPr>
          <w:rFonts w:ascii="Times New Roman" w:hAnsi="Times New Roman" w:cs="Times New Roman"/>
          <w:sz w:val="22"/>
          <w:szCs w:val="22"/>
          <w:lang w:val="en-US"/>
        </w:rPr>
        <w:t>Neurosurg</w:t>
      </w:r>
      <w:proofErr w:type="spellEnd"/>
      <w:r w:rsidRPr="0019234B">
        <w:rPr>
          <w:rFonts w:ascii="Times New Roman" w:hAnsi="Times New Roman" w:cs="Times New Roman"/>
          <w:sz w:val="22"/>
          <w:szCs w:val="22"/>
          <w:lang w:val="en-US"/>
        </w:rPr>
        <w:t xml:space="preserve"> </w:t>
      </w:r>
      <w:proofErr w:type="spellStart"/>
      <w:r w:rsidRPr="0019234B">
        <w:rPr>
          <w:rFonts w:ascii="Times New Roman" w:hAnsi="Times New Roman" w:cs="Times New Roman"/>
          <w:sz w:val="22"/>
          <w:szCs w:val="22"/>
          <w:lang w:val="en-US"/>
        </w:rPr>
        <w:t>Pediatr</w:t>
      </w:r>
      <w:proofErr w:type="spellEnd"/>
      <w:r w:rsidRPr="0019234B">
        <w:rPr>
          <w:rFonts w:ascii="Times New Roman" w:hAnsi="Times New Roman" w:cs="Times New Roman"/>
          <w:sz w:val="22"/>
          <w:szCs w:val="22"/>
          <w:lang w:val="en-US"/>
        </w:rPr>
        <w:t xml:space="preserve">. 2023;31(5):469–75. </w:t>
      </w:r>
    </w:p>
    <w:p w14:paraId="7C3F62A2" w14:textId="799BD64F" w:rsidR="0019234B" w:rsidRPr="0019234B" w:rsidRDefault="0019234B" w:rsidP="0019234B">
      <w:pPr>
        <w:pStyle w:val="ListParagraph"/>
        <w:numPr>
          <w:ilvl w:val="0"/>
          <w:numId w:val="10"/>
        </w:numPr>
        <w:spacing w:line="276" w:lineRule="auto"/>
        <w:ind w:hanging="436"/>
        <w:jc w:val="both"/>
        <w:rPr>
          <w:rFonts w:ascii="Times New Roman" w:hAnsi="Times New Roman" w:cs="Times New Roman"/>
          <w:sz w:val="22"/>
          <w:szCs w:val="22"/>
          <w:lang w:val="en-US"/>
        </w:rPr>
      </w:pPr>
      <w:r w:rsidRPr="0019234B">
        <w:rPr>
          <w:rFonts w:ascii="Times New Roman" w:hAnsi="Times New Roman" w:cs="Times New Roman"/>
          <w:sz w:val="22"/>
          <w:szCs w:val="22"/>
          <w:lang w:val="en-US"/>
        </w:rPr>
        <w:t xml:space="preserve">Stricker S, </w:t>
      </w:r>
      <w:proofErr w:type="spellStart"/>
      <w:r w:rsidRPr="0019234B">
        <w:rPr>
          <w:rFonts w:ascii="Times New Roman" w:hAnsi="Times New Roman" w:cs="Times New Roman"/>
          <w:sz w:val="22"/>
          <w:szCs w:val="22"/>
          <w:lang w:val="en-US"/>
        </w:rPr>
        <w:t>Boulouis</w:t>
      </w:r>
      <w:proofErr w:type="spellEnd"/>
      <w:r w:rsidRPr="0019234B">
        <w:rPr>
          <w:rFonts w:ascii="Times New Roman" w:hAnsi="Times New Roman" w:cs="Times New Roman"/>
          <w:sz w:val="22"/>
          <w:szCs w:val="22"/>
          <w:lang w:val="en-US"/>
        </w:rPr>
        <w:t xml:space="preserve"> G, </w:t>
      </w:r>
      <w:proofErr w:type="spellStart"/>
      <w:r w:rsidRPr="0019234B">
        <w:rPr>
          <w:rFonts w:ascii="Times New Roman" w:hAnsi="Times New Roman" w:cs="Times New Roman"/>
          <w:sz w:val="22"/>
          <w:szCs w:val="22"/>
          <w:lang w:val="en-US"/>
        </w:rPr>
        <w:t>Benichi</w:t>
      </w:r>
      <w:proofErr w:type="spellEnd"/>
      <w:r w:rsidRPr="0019234B">
        <w:rPr>
          <w:rFonts w:ascii="Times New Roman" w:hAnsi="Times New Roman" w:cs="Times New Roman"/>
          <w:sz w:val="22"/>
          <w:szCs w:val="22"/>
          <w:lang w:val="en-US"/>
        </w:rPr>
        <w:t xml:space="preserve"> S, Bourgeois M, </w:t>
      </w:r>
      <w:proofErr w:type="spellStart"/>
      <w:r w:rsidRPr="0019234B">
        <w:rPr>
          <w:rFonts w:ascii="Times New Roman" w:hAnsi="Times New Roman" w:cs="Times New Roman"/>
          <w:sz w:val="22"/>
          <w:szCs w:val="22"/>
          <w:lang w:val="en-US"/>
        </w:rPr>
        <w:t>Gariel</w:t>
      </w:r>
      <w:proofErr w:type="spellEnd"/>
      <w:r w:rsidRPr="0019234B">
        <w:rPr>
          <w:rFonts w:ascii="Times New Roman" w:hAnsi="Times New Roman" w:cs="Times New Roman"/>
          <w:sz w:val="22"/>
          <w:szCs w:val="22"/>
          <w:lang w:val="en-US"/>
        </w:rPr>
        <w:t xml:space="preserve"> F, </w:t>
      </w:r>
      <w:proofErr w:type="spellStart"/>
      <w:r w:rsidRPr="0019234B">
        <w:rPr>
          <w:rFonts w:ascii="Times New Roman" w:hAnsi="Times New Roman" w:cs="Times New Roman"/>
          <w:sz w:val="22"/>
          <w:szCs w:val="22"/>
          <w:lang w:val="en-US"/>
        </w:rPr>
        <w:t>Garzelli</w:t>
      </w:r>
      <w:proofErr w:type="spellEnd"/>
      <w:r w:rsidRPr="0019234B">
        <w:rPr>
          <w:rFonts w:ascii="Times New Roman" w:hAnsi="Times New Roman" w:cs="Times New Roman"/>
          <w:sz w:val="22"/>
          <w:szCs w:val="22"/>
          <w:lang w:val="en-US"/>
        </w:rPr>
        <w:t xml:space="preserve"> L, et al. Acute surgical management of children with ruptured brain arteriovenous malformation. J </w:t>
      </w:r>
      <w:proofErr w:type="spellStart"/>
      <w:r w:rsidRPr="0019234B">
        <w:rPr>
          <w:rFonts w:ascii="Times New Roman" w:hAnsi="Times New Roman" w:cs="Times New Roman"/>
          <w:sz w:val="22"/>
          <w:szCs w:val="22"/>
          <w:lang w:val="en-US"/>
        </w:rPr>
        <w:t>Neurosurg</w:t>
      </w:r>
      <w:proofErr w:type="spellEnd"/>
      <w:r w:rsidRPr="0019234B">
        <w:rPr>
          <w:rFonts w:ascii="Times New Roman" w:hAnsi="Times New Roman" w:cs="Times New Roman"/>
          <w:sz w:val="22"/>
          <w:szCs w:val="22"/>
          <w:lang w:val="en-US"/>
        </w:rPr>
        <w:t xml:space="preserve"> </w:t>
      </w:r>
      <w:proofErr w:type="spellStart"/>
      <w:r w:rsidRPr="0019234B">
        <w:rPr>
          <w:rFonts w:ascii="Times New Roman" w:hAnsi="Times New Roman" w:cs="Times New Roman"/>
          <w:sz w:val="22"/>
          <w:szCs w:val="22"/>
          <w:lang w:val="en-US"/>
        </w:rPr>
        <w:t>Pediatr</w:t>
      </w:r>
      <w:proofErr w:type="spellEnd"/>
      <w:r w:rsidRPr="0019234B">
        <w:rPr>
          <w:rFonts w:ascii="Times New Roman" w:hAnsi="Times New Roman" w:cs="Times New Roman"/>
          <w:sz w:val="22"/>
          <w:szCs w:val="22"/>
          <w:lang w:val="en-US"/>
        </w:rPr>
        <w:t xml:space="preserve">. 2021;27(4):437–45. </w:t>
      </w:r>
    </w:p>
    <w:p w14:paraId="26B7E94C" w14:textId="38C4E168" w:rsidR="0019234B" w:rsidRPr="0019234B" w:rsidRDefault="0019234B" w:rsidP="0019234B">
      <w:pPr>
        <w:pStyle w:val="ListParagraph"/>
        <w:numPr>
          <w:ilvl w:val="0"/>
          <w:numId w:val="10"/>
        </w:numPr>
        <w:spacing w:line="276" w:lineRule="auto"/>
        <w:ind w:hanging="436"/>
        <w:jc w:val="both"/>
        <w:rPr>
          <w:rFonts w:ascii="Times New Roman" w:hAnsi="Times New Roman" w:cs="Times New Roman"/>
          <w:sz w:val="22"/>
          <w:szCs w:val="22"/>
          <w:lang w:val="en-US"/>
        </w:rPr>
      </w:pPr>
      <w:r w:rsidRPr="0019234B">
        <w:rPr>
          <w:rFonts w:ascii="Times New Roman" w:hAnsi="Times New Roman" w:cs="Times New Roman"/>
          <w:sz w:val="22"/>
          <w:szCs w:val="22"/>
          <w:lang w:val="en-US"/>
        </w:rPr>
        <w:t xml:space="preserve">Fan C, Haibing L, </w:t>
      </w:r>
      <w:proofErr w:type="spellStart"/>
      <w:r w:rsidRPr="0019234B">
        <w:rPr>
          <w:rFonts w:ascii="Times New Roman" w:hAnsi="Times New Roman" w:cs="Times New Roman"/>
          <w:sz w:val="22"/>
          <w:szCs w:val="22"/>
          <w:lang w:val="en-US"/>
        </w:rPr>
        <w:t>Jianbin</w:t>
      </w:r>
      <w:proofErr w:type="spellEnd"/>
      <w:r w:rsidRPr="0019234B">
        <w:rPr>
          <w:rFonts w:ascii="Times New Roman" w:hAnsi="Times New Roman" w:cs="Times New Roman"/>
          <w:sz w:val="22"/>
          <w:szCs w:val="22"/>
          <w:lang w:val="en-US"/>
        </w:rPr>
        <w:t xml:space="preserve"> Y, </w:t>
      </w:r>
      <w:proofErr w:type="spellStart"/>
      <w:r w:rsidRPr="0019234B">
        <w:rPr>
          <w:rFonts w:ascii="Times New Roman" w:hAnsi="Times New Roman" w:cs="Times New Roman"/>
          <w:sz w:val="22"/>
          <w:szCs w:val="22"/>
          <w:lang w:val="en-US"/>
        </w:rPr>
        <w:t>Qingshuang</w:t>
      </w:r>
      <w:proofErr w:type="spellEnd"/>
      <w:r w:rsidRPr="0019234B">
        <w:rPr>
          <w:rFonts w:ascii="Times New Roman" w:hAnsi="Times New Roman" w:cs="Times New Roman"/>
          <w:sz w:val="22"/>
          <w:szCs w:val="22"/>
          <w:lang w:val="en-US"/>
        </w:rPr>
        <w:t xml:space="preserve"> Z, </w:t>
      </w:r>
      <w:proofErr w:type="spellStart"/>
      <w:r w:rsidRPr="0019234B">
        <w:rPr>
          <w:rFonts w:ascii="Times New Roman" w:hAnsi="Times New Roman" w:cs="Times New Roman"/>
          <w:sz w:val="22"/>
          <w:szCs w:val="22"/>
          <w:lang w:val="en-US"/>
        </w:rPr>
        <w:t>Kaiming</w:t>
      </w:r>
      <w:proofErr w:type="spellEnd"/>
      <w:r w:rsidRPr="0019234B">
        <w:rPr>
          <w:rFonts w:ascii="Times New Roman" w:hAnsi="Times New Roman" w:cs="Times New Roman"/>
          <w:sz w:val="22"/>
          <w:szCs w:val="22"/>
          <w:lang w:val="en-US"/>
        </w:rPr>
        <w:t xml:space="preserve"> C, </w:t>
      </w:r>
      <w:proofErr w:type="spellStart"/>
      <w:r w:rsidRPr="0019234B">
        <w:rPr>
          <w:rFonts w:ascii="Times New Roman" w:hAnsi="Times New Roman" w:cs="Times New Roman"/>
          <w:sz w:val="22"/>
          <w:szCs w:val="22"/>
          <w:lang w:val="en-US"/>
        </w:rPr>
        <w:t>Jingfang</w:t>
      </w:r>
      <w:proofErr w:type="spellEnd"/>
      <w:r w:rsidRPr="0019234B">
        <w:rPr>
          <w:rFonts w:ascii="Times New Roman" w:hAnsi="Times New Roman" w:cs="Times New Roman"/>
          <w:sz w:val="22"/>
          <w:szCs w:val="22"/>
          <w:lang w:val="en-US"/>
        </w:rPr>
        <w:t xml:space="preserve"> H, et al. One-stop hybrid operation versus microsurgery for treating brain arteriovenous malformation in children: a retrospective case series [Internet]. </w:t>
      </w:r>
    </w:p>
    <w:p w14:paraId="787DD99B" w14:textId="150D8097" w:rsidR="0019234B" w:rsidRPr="0019234B" w:rsidRDefault="0019234B" w:rsidP="0019234B">
      <w:pPr>
        <w:pStyle w:val="ListParagraph"/>
        <w:numPr>
          <w:ilvl w:val="0"/>
          <w:numId w:val="10"/>
        </w:numPr>
        <w:spacing w:line="276" w:lineRule="auto"/>
        <w:ind w:hanging="436"/>
        <w:jc w:val="both"/>
        <w:rPr>
          <w:rFonts w:ascii="Times New Roman" w:hAnsi="Times New Roman" w:cs="Times New Roman"/>
          <w:sz w:val="22"/>
          <w:szCs w:val="22"/>
          <w:lang w:val="en-US"/>
        </w:rPr>
      </w:pPr>
      <w:proofErr w:type="spellStart"/>
      <w:r w:rsidRPr="0019234B">
        <w:rPr>
          <w:rFonts w:ascii="Times New Roman" w:hAnsi="Times New Roman" w:cs="Times New Roman"/>
          <w:sz w:val="22"/>
          <w:szCs w:val="22"/>
          <w:lang w:val="en-US"/>
        </w:rPr>
        <w:t>Saloum</w:t>
      </w:r>
      <w:proofErr w:type="spellEnd"/>
      <w:r w:rsidRPr="0019234B">
        <w:rPr>
          <w:rFonts w:ascii="Times New Roman" w:hAnsi="Times New Roman" w:cs="Times New Roman"/>
          <w:sz w:val="22"/>
          <w:szCs w:val="22"/>
          <w:lang w:val="en-US"/>
        </w:rPr>
        <w:t xml:space="preserve"> A, Al-</w:t>
      </w:r>
      <w:proofErr w:type="spellStart"/>
      <w:r w:rsidRPr="0019234B">
        <w:rPr>
          <w:rFonts w:ascii="Times New Roman" w:hAnsi="Times New Roman" w:cs="Times New Roman"/>
          <w:sz w:val="22"/>
          <w:szCs w:val="22"/>
          <w:lang w:val="en-US"/>
        </w:rPr>
        <w:t>Nuaimy</w:t>
      </w:r>
      <w:proofErr w:type="spellEnd"/>
      <w:r w:rsidRPr="0019234B">
        <w:rPr>
          <w:rFonts w:ascii="Times New Roman" w:hAnsi="Times New Roman" w:cs="Times New Roman"/>
          <w:sz w:val="22"/>
          <w:szCs w:val="22"/>
          <w:lang w:val="en-US"/>
        </w:rPr>
        <w:t xml:space="preserve"> Y, </w:t>
      </w:r>
      <w:proofErr w:type="spellStart"/>
      <w:r w:rsidRPr="0019234B">
        <w:rPr>
          <w:rFonts w:ascii="Times New Roman" w:hAnsi="Times New Roman" w:cs="Times New Roman"/>
          <w:sz w:val="22"/>
          <w:szCs w:val="22"/>
          <w:lang w:val="en-US"/>
        </w:rPr>
        <w:t>Baloi</w:t>
      </w:r>
      <w:proofErr w:type="spellEnd"/>
      <w:r w:rsidRPr="0019234B">
        <w:rPr>
          <w:rFonts w:ascii="Times New Roman" w:hAnsi="Times New Roman" w:cs="Times New Roman"/>
          <w:sz w:val="22"/>
          <w:szCs w:val="22"/>
          <w:lang w:val="en-US"/>
        </w:rPr>
        <w:t xml:space="preserve"> D, </w:t>
      </w:r>
      <w:proofErr w:type="spellStart"/>
      <w:r w:rsidRPr="0019234B">
        <w:rPr>
          <w:rFonts w:ascii="Times New Roman" w:hAnsi="Times New Roman" w:cs="Times New Roman"/>
          <w:sz w:val="22"/>
          <w:szCs w:val="22"/>
          <w:lang w:val="en-US"/>
        </w:rPr>
        <w:t>Karsy</w:t>
      </w:r>
      <w:proofErr w:type="spellEnd"/>
      <w:r w:rsidRPr="0019234B">
        <w:rPr>
          <w:rFonts w:ascii="Times New Roman" w:hAnsi="Times New Roman" w:cs="Times New Roman"/>
          <w:sz w:val="22"/>
          <w:szCs w:val="22"/>
          <w:lang w:val="en-US"/>
        </w:rPr>
        <w:t xml:space="preserve"> M, </w:t>
      </w:r>
      <w:proofErr w:type="spellStart"/>
      <w:r w:rsidRPr="0019234B">
        <w:rPr>
          <w:rFonts w:ascii="Times New Roman" w:hAnsi="Times New Roman" w:cs="Times New Roman"/>
          <w:sz w:val="22"/>
          <w:szCs w:val="22"/>
          <w:lang w:val="en-US"/>
        </w:rPr>
        <w:t>Pahlevani</w:t>
      </w:r>
      <w:proofErr w:type="spellEnd"/>
      <w:r w:rsidRPr="0019234B">
        <w:rPr>
          <w:rFonts w:ascii="Times New Roman" w:hAnsi="Times New Roman" w:cs="Times New Roman"/>
          <w:sz w:val="22"/>
          <w:szCs w:val="22"/>
          <w:lang w:val="en-US"/>
        </w:rPr>
        <w:t xml:space="preserve"> M, </w:t>
      </w:r>
      <w:proofErr w:type="spellStart"/>
      <w:r w:rsidRPr="0019234B">
        <w:rPr>
          <w:rFonts w:ascii="Times New Roman" w:hAnsi="Times New Roman" w:cs="Times New Roman"/>
          <w:sz w:val="22"/>
          <w:szCs w:val="22"/>
          <w:lang w:val="en-US"/>
        </w:rPr>
        <w:t>Lucke-Wold</w:t>
      </w:r>
      <w:proofErr w:type="spellEnd"/>
      <w:r w:rsidRPr="0019234B">
        <w:rPr>
          <w:rFonts w:ascii="Times New Roman" w:hAnsi="Times New Roman" w:cs="Times New Roman"/>
          <w:sz w:val="22"/>
          <w:szCs w:val="22"/>
          <w:lang w:val="en-US"/>
        </w:rPr>
        <w:t xml:space="preserve"> B. Advances in the multimodal management of pediatric arteriovenous malformations: a 10-year review. Life (Basel). 2025;15(10):1620. </w:t>
      </w:r>
    </w:p>
    <w:p w14:paraId="0F11F6B7" w14:textId="151F9B1F" w:rsidR="0019234B" w:rsidRPr="0019234B" w:rsidRDefault="0019234B" w:rsidP="0019234B">
      <w:pPr>
        <w:pStyle w:val="ListParagraph"/>
        <w:numPr>
          <w:ilvl w:val="0"/>
          <w:numId w:val="10"/>
        </w:numPr>
        <w:spacing w:line="276" w:lineRule="auto"/>
        <w:ind w:hanging="436"/>
        <w:jc w:val="both"/>
        <w:rPr>
          <w:rFonts w:ascii="Times New Roman" w:hAnsi="Times New Roman" w:cs="Times New Roman"/>
          <w:sz w:val="22"/>
          <w:szCs w:val="22"/>
          <w:lang w:val="en-US"/>
        </w:rPr>
      </w:pPr>
      <w:r w:rsidRPr="0019234B">
        <w:rPr>
          <w:rFonts w:ascii="Times New Roman" w:hAnsi="Times New Roman" w:cs="Times New Roman"/>
          <w:sz w:val="22"/>
          <w:szCs w:val="22"/>
          <w:lang w:val="en-US"/>
        </w:rPr>
        <w:t xml:space="preserve">See AP, Smith ER. Management of pediatric intracranial arteriovenous malformations. J Korean </w:t>
      </w:r>
      <w:proofErr w:type="spellStart"/>
      <w:r w:rsidRPr="0019234B">
        <w:rPr>
          <w:rFonts w:ascii="Times New Roman" w:hAnsi="Times New Roman" w:cs="Times New Roman"/>
          <w:sz w:val="22"/>
          <w:szCs w:val="22"/>
          <w:lang w:val="en-US"/>
        </w:rPr>
        <w:t>Neurosurg</w:t>
      </w:r>
      <w:proofErr w:type="spellEnd"/>
      <w:r w:rsidRPr="0019234B">
        <w:rPr>
          <w:rFonts w:ascii="Times New Roman" w:hAnsi="Times New Roman" w:cs="Times New Roman"/>
          <w:sz w:val="22"/>
          <w:szCs w:val="22"/>
          <w:lang w:val="en-US"/>
        </w:rPr>
        <w:t xml:space="preserve"> Soc. 2024;67(3):289–98. </w:t>
      </w:r>
    </w:p>
    <w:p w14:paraId="3F327112" w14:textId="6082888B" w:rsidR="0019234B" w:rsidRPr="0019234B" w:rsidRDefault="0019234B" w:rsidP="0019234B">
      <w:pPr>
        <w:pStyle w:val="ListParagraph"/>
        <w:numPr>
          <w:ilvl w:val="0"/>
          <w:numId w:val="10"/>
        </w:numPr>
        <w:spacing w:line="276" w:lineRule="auto"/>
        <w:ind w:hanging="436"/>
        <w:jc w:val="both"/>
        <w:rPr>
          <w:rFonts w:ascii="Times New Roman" w:hAnsi="Times New Roman" w:cs="Times New Roman"/>
          <w:sz w:val="22"/>
          <w:szCs w:val="22"/>
          <w:lang w:val="en-US"/>
        </w:rPr>
      </w:pPr>
      <w:r w:rsidRPr="0019234B">
        <w:rPr>
          <w:rFonts w:ascii="Times New Roman" w:hAnsi="Times New Roman" w:cs="Times New Roman"/>
          <w:sz w:val="22"/>
          <w:szCs w:val="22"/>
          <w:lang w:val="en-US"/>
        </w:rPr>
        <w:t xml:space="preserve">Chen F, Liu H, Chen K, Ying J, Zhao Q, Zhang T, et al. One-stop hybrid operation versus microsurgery for treating brain arteriovenous malformation in children: a retrospective case series. </w:t>
      </w:r>
      <w:proofErr w:type="spellStart"/>
      <w:r w:rsidRPr="0019234B">
        <w:rPr>
          <w:rFonts w:ascii="Times New Roman" w:hAnsi="Times New Roman" w:cs="Times New Roman"/>
          <w:sz w:val="22"/>
          <w:szCs w:val="22"/>
          <w:lang w:val="en-US"/>
        </w:rPr>
        <w:t>Transl</w:t>
      </w:r>
      <w:proofErr w:type="spellEnd"/>
      <w:r w:rsidRPr="0019234B">
        <w:rPr>
          <w:rFonts w:ascii="Times New Roman" w:hAnsi="Times New Roman" w:cs="Times New Roman"/>
          <w:sz w:val="22"/>
          <w:szCs w:val="22"/>
          <w:lang w:val="en-US"/>
        </w:rPr>
        <w:t xml:space="preserve"> </w:t>
      </w:r>
      <w:proofErr w:type="spellStart"/>
      <w:r w:rsidRPr="0019234B">
        <w:rPr>
          <w:rFonts w:ascii="Times New Roman" w:hAnsi="Times New Roman" w:cs="Times New Roman"/>
          <w:sz w:val="22"/>
          <w:szCs w:val="22"/>
          <w:lang w:val="en-US"/>
        </w:rPr>
        <w:t>Pediatr</w:t>
      </w:r>
      <w:proofErr w:type="spellEnd"/>
      <w:r w:rsidRPr="0019234B">
        <w:rPr>
          <w:rFonts w:ascii="Times New Roman" w:hAnsi="Times New Roman" w:cs="Times New Roman"/>
          <w:sz w:val="22"/>
          <w:szCs w:val="22"/>
          <w:lang w:val="en-US"/>
        </w:rPr>
        <w:t xml:space="preserve">. 2024;13(7):1051–60. </w:t>
      </w:r>
    </w:p>
    <w:p w14:paraId="0D2887EC" w14:textId="386FEB65" w:rsidR="0019234B" w:rsidRPr="0019234B" w:rsidRDefault="0019234B" w:rsidP="0019234B">
      <w:pPr>
        <w:pStyle w:val="ListParagraph"/>
        <w:numPr>
          <w:ilvl w:val="0"/>
          <w:numId w:val="10"/>
        </w:numPr>
        <w:spacing w:line="276" w:lineRule="auto"/>
        <w:ind w:hanging="436"/>
        <w:jc w:val="both"/>
        <w:rPr>
          <w:rFonts w:ascii="Times New Roman" w:hAnsi="Times New Roman" w:cs="Times New Roman"/>
          <w:sz w:val="22"/>
          <w:szCs w:val="22"/>
          <w:lang w:val="en-US"/>
        </w:rPr>
      </w:pPr>
      <w:proofErr w:type="spellStart"/>
      <w:r w:rsidRPr="0019234B">
        <w:rPr>
          <w:rFonts w:ascii="Times New Roman" w:hAnsi="Times New Roman" w:cs="Times New Roman"/>
          <w:sz w:val="22"/>
          <w:szCs w:val="22"/>
          <w:lang w:val="en-US"/>
        </w:rPr>
        <w:t>Encarnación</w:t>
      </w:r>
      <w:proofErr w:type="spellEnd"/>
      <w:r w:rsidRPr="0019234B">
        <w:rPr>
          <w:rFonts w:ascii="Times New Roman" w:hAnsi="Times New Roman" w:cs="Times New Roman"/>
          <w:sz w:val="22"/>
          <w:szCs w:val="22"/>
          <w:lang w:val="en-US"/>
        </w:rPr>
        <w:t xml:space="preserve"> Santos D, </w:t>
      </w:r>
      <w:proofErr w:type="spellStart"/>
      <w:r w:rsidRPr="0019234B">
        <w:rPr>
          <w:rFonts w:ascii="Times New Roman" w:hAnsi="Times New Roman" w:cs="Times New Roman"/>
          <w:sz w:val="22"/>
          <w:szCs w:val="22"/>
          <w:lang w:val="en-US"/>
        </w:rPr>
        <w:t>Chmutin</w:t>
      </w:r>
      <w:proofErr w:type="spellEnd"/>
      <w:r w:rsidRPr="0019234B">
        <w:rPr>
          <w:rFonts w:ascii="Times New Roman" w:hAnsi="Times New Roman" w:cs="Times New Roman"/>
          <w:sz w:val="22"/>
          <w:szCs w:val="22"/>
          <w:lang w:val="en-US"/>
        </w:rPr>
        <w:t xml:space="preserve"> G, Rami </w:t>
      </w:r>
      <w:proofErr w:type="spellStart"/>
      <w:r w:rsidRPr="0019234B">
        <w:rPr>
          <w:rFonts w:ascii="Times New Roman" w:hAnsi="Times New Roman" w:cs="Times New Roman"/>
          <w:sz w:val="22"/>
          <w:szCs w:val="22"/>
          <w:lang w:val="en-US"/>
        </w:rPr>
        <w:t>Kassar</w:t>
      </w:r>
      <w:proofErr w:type="spellEnd"/>
      <w:r w:rsidRPr="0019234B">
        <w:rPr>
          <w:rFonts w:ascii="Times New Roman" w:hAnsi="Times New Roman" w:cs="Times New Roman"/>
          <w:sz w:val="22"/>
          <w:szCs w:val="22"/>
          <w:lang w:val="en-US"/>
        </w:rPr>
        <w:t xml:space="preserve"> A, Gordon </w:t>
      </w:r>
      <w:proofErr w:type="spellStart"/>
      <w:r w:rsidRPr="0019234B">
        <w:rPr>
          <w:rFonts w:ascii="Times New Roman" w:hAnsi="Times New Roman" w:cs="Times New Roman"/>
          <w:sz w:val="22"/>
          <w:szCs w:val="22"/>
          <w:lang w:val="en-US"/>
        </w:rPr>
        <w:t>Gullanyi</w:t>
      </w:r>
      <w:proofErr w:type="spellEnd"/>
      <w:r w:rsidRPr="0019234B">
        <w:rPr>
          <w:rFonts w:ascii="Times New Roman" w:hAnsi="Times New Roman" w:cs="Times New Roman"/>
          <w:sz w:val="22"/>
          <w:szCs w:val="22"/>
          <w:lang w:val="en-US"/>
        </w:rPr>
        <w:t xml:space="preserve"> A, Bozkurt I, </w:t>
      </w:r>
      <w:proofErr w:type="spellStart"/>
      <w:r w:rsidRPr="0019234B">
        <w:rPr>
          <w:rFonts w:ascii="Times New Roman" w:hAnsi="Times New Roman" w:cs="Times New Roman"/>
          <w:sz w:val="22"/>
          <w:szCs w:val="22"/>
          <w:lang w:val="en-US"/>
        </w:rPr>
        <w:t>Wellignton</w:t>
      </w:r>
      <w:proofErr w:type="spellEnd"/>
      <w:r w:rsidRPr="0019234B">
        <w:rPr>
          <w:rFonts w:ascii="Times New Roman" w:hAnsi="Times New Roman" w:cs="Times New Roman"/>
          <w:sz w:val="22"/>
          <w:szCs w:val="22"/>
          <w:lang w:val="en-US"/>
        </w:rPr>
        <w:t xml:space="preserve"> J, et al. Endovascular treatments, predictors and outcomes of cerebral aneurysm: a systematic review. Romanian </w:t>
      </w:r>
      <w:proofErr w:type="spellStart"/>
      <w:r w:rsidRPr="0019234B">
        <w:rPr>
          <w:rFonts w:ascii="Times New Roman" w:hAnsi="Times New Roman" w:cs="Times New Roman"/>
          <w:sz w:val="22"/>
          <w:szCs w:val="22"/>
          <w:lang w:val="en-US"/>
        </w:rPr>
        <w:t>Neurosurg</w:t>
      </w:r>
      <w:proofErr w:type="spellEnd"/>
      <w:r w:rsidRPr="0019234B">
        <w:rPr>
          <w:rFonts w:ascii="Times New Roman" w:hAnsi="Times New Roman" w:cs="Times New Roman"/>
          <w:sz w:val="22"/>
          <w:szCs w:val="22"/>
          <w:lang w:val="en-US"/>
        </w:rPr>
        <w:t xml:space="preserve">. 2024:420–9. </w:t>
      </w:r>
    </w:p>
    <w:p w14:paraId="66F32E0A" w14:textId="53E94E5B" w:rsidR="0019234B" w:rsidRPr="0019234B" w:rsidRDefault="0019234B" w:rsidP="0019234B">
      <w:pPr>
        <w:pStyle w:val="ListParagraph"/>
        <w:numPr>
          <w:ilvl w:val="0"/>
          <w:numId w:val="10"/>
        </w:numPr>
        <w:spacing w:line="276" w:lineRule="auto"/>
        <w:ind w:hanging="436"/>
        <w:jc w:val="both"/>
        <w:rPr>
          <w:rFonts w:ascii="Times New Roman" w:hAnsi="Times New Roman" w:cs="Times New Roman"/>
          <w:sz w:val="22"/>
          <w:szCs w:val="22"/>
          <w:lang w:val="en-US"/>
        </w:rPr>
      </w:pPr>
      <w:proofErr w:type="spellStart"/>
      <w:r w:rsidRPr="0019234B">
        <w:rPr>
          <w:rFonts w:ascii="Times New Roman" w:hAnsi="Times New Roman" w:cs="Times New Roman"/>
          <w:sz w:val="22"/>
          <w:szCs w:val="22"/>
          <w:lang w:val="en-US"/>
        </w:rPr>
        <w:t>Zokhidov</w:t>
      </w:r>
      <w:proofErr w:type="spellEnd"/>
      <w:r w:rsidRPr="0019234B">
        <w:rPr>
          <w:rFonts w:ascii="Times New Roman" w:hAnsi="Times New Roman" w:cs="Times New Roman"/>
          <w:sz w:val="22"/>
          <w:szCs w:val="22"/>
          <w:lang w:val="en-US"/>
        </w:rPr>
        <w:t xml:space="preserve"> ZU, Encarnacion-Santos D, </w:t>
      </w:r>
      <w:proofErr w:type="spellStart"/>
      <w:r w:rsidRPr="0019234B">
        <w:rPr>
          <w:rFonts w:ascii="Times New Roman" w:hAnsi="Times New Roman" w:cs="Times New Roman"/>
          <w:sz w:val="22"/>
          <w:szCs w:val="22"/>
          <w:lang w:val="en-US"/>
        </w:rPr>
        <w:t>Chmutin</w:t>
      </w:r>
      <w:proofErr w:type="spellEnd"/>
      <w:r w:rsidRPr="0019234B">
        <w:rPr>
          <w:rFonts w:ascii="Times New Roman" w:hAnsi="Times New Roman" w:cs="Times New Roman"/>
          <w:sz w:val="22"/>
          <w:szCs w:val="22"/>
          <w:lang w:val="en-US"/>
        </w:rPr>
        <w:t xml:space="preserve"> G, </w:t>
      </w:r>
      <w:proofErr w:type="spellStart"/>
      <w:r w:rsidRPr="0019234B">
        <w:rPr>
          <w:rFonts w:ascii="Times New Roman" w:hAnsi="Times New Roman" w:cs="Times New Roman"/>
          <w:sz w:val="22"/>
          <w:szCs w:val="22"/>
          <w:lang w:val="en-US"/>
        </w:rPr>
        <w:t>Ayisi-Gullanyi</w:t>
      </w:r>
      <w:proofErr w:type="spellEnd"/>
      <w:r w:rsidRPr="0019234B">
        <w:rPr>
          <w:rFonts w:ascii="Times New Roman" w:hAnsi="Times New Roman" w:cs="Times New Roman"/>
          <w:sz w:val="22"/>
          <w:szCs w:val="22"/>
          <w:lang w:val="en-US"/>
        </w:rPr>
        <w:t xml:space="preserve"> G, </w:t>
      </w:r>
      <w:proofErr w:type="spellStart"/>
      <w:r w:rsidRPr="0019234B">
        <w:rPr>
          <w:rFonts w:ascii="Times New Roman" w:hAnsi="Times New Roman" w:cs="Times New Roman"/>
          <w:sz w:val="22"/>
          <w:szCs w:val="22"/>
          <w:lang w:val="en-US"/>
        </w:rPr>
        <w:t>Chmutin</w:t>
      </w:r>
      <w:proofErr w:type="spellEnd"/>
      <w:r w:rsidRPr="0019234B">
        <w:rPr>
          <w:rFonts w:ascii="Times New Roman" w:hAnsi="Times New Roman" w:cs="Times New Roman"/>
          <w:sz w:val="22"/>
          <w:szCs w:val="22"/>
          <w:lang w:val="en-US"/>
        </w:rPr>
        <w:t xml:space="preserve"> E, </w:t>
      </w:r>
      <w:proofErr w:type="spellStart"/>
      <w:r w:rsidRPr="0019234B">
        <w:rPr>
          <w:rFonts w:ascii="Times New Roman" w:hAnsi="Times New Roman" w:cs="Times New Roman"/>
          <w:sz w:val="22"/>
          <w:szCs w:val="22"/>
          <w:lang w:val="en-US"/>
        </w:rPr>
        <w:t>Livshits</w:t>
      </w:r>
      <w:proofErr w:type="spellEnd"/>
      <w:r w:rsidRPr="0019234B">
        <w:rPr>
          <w:rFonts w:ascii="Times New Roman" w:hAnsi="Times New Roman" w:cs="Times New Roman"/>
          <w:sz w:val="22"/>
          <w:szCs w:val="22"/>
          <w:lang w:val="en-US"/>
        </w:rPr>
        <w:t xml:space="preserve"> MI, et al. Arteriovenous malformation rupture on posterior cranial fossa: management and treatment of 9 </w:t>
      </w:r>
      <w:proofErr w:type="gramStart"/>
      <w:r w:rsidRPr="0019234B">
        <w:rPr>
          <w:rFonts w:ascii="Times New Roman" w:hAnsi="Times New Roman" w:cs="Times New Roman"/>
          <w:sz w:val="22"/>
          <w:szCs w:val="22"/>
          <w:lang w:val="en-US"/>
        </w:rPr>
        <w:t>children</w:t>
      </w:r>
      <w:proofErr w:type="gramEnd"/>
      <w:r w:rsidRPr="0019234B">
        <w:rPr>
          <w:rFonts w:ascii="Times New Roman" w:hAnsi="Times New Roman" w:cs="Times New Roman"/>
          <w:sz w:val="22"/>
          <w:szCs w:val="22"/>
          <w:lang w:val="en-US"/>
        </w:rPr>
        <w:t xml:space="preserve"> patients at </w:t>
      </w:r>
      <w:proofErr w:type="spellStart"/>
      <w:r w:rsidRPr="0019234B">
        <w:rPr>
          <w:rFonts w:ascii="Times New Roman" w:hAnsi="Times New Roman" w:cs="Times New Roman"/>
          <w:sz w:val="22"/>
          <w:szCs w:val="22"/>
          <w:lang w:val="en-US"/>
        </w:rPr>
        <w:t>Morozovskaya</w:t>
      </w:r>
      <w:proofErr w:type="spellEnd"/>
      <w:r w:rsidRPr="0019234B">
        <w:rPr>
          <w:rFonts w:ascii="Times New Roman" w:hAnsi="Times New Roman" w:cs="Times New Roman"/>
          <w:sz w:val="22"/>
          <w:szCs w:val="22"/>
          <w:lang w:val="en-US"/>
        </w:rPr>
        <w:t xml:space="preserve"> Children's Hospital. Asian Australasian Neuro Health Sci J. 2025;7(2):69–78. </w:t>
      </w:r>
    </w:p>
    <w:p w14:paraId="485DFF33" w14:textId="59205BFD" w:rsidR="00E14EC1" w:rsidRPr="0019234B" w:rsidRDefault="0019234B" w:rsidP="0019234B">
      <w:pPr>
        <w:pStyle w:val="ListParagraph"/>
        <w:numPr>
          <w:ilvl w:val="0"/>
          <w:numId w:val="10"/>
        </w:numPr>
        <w:spacing w:line="276" w:lineRule="auto"/>
        <w:ind w:hanging="436"/>
        <w:jc w:val="both"/>
        <w:rPr>
          <w:rFonts w:ascii="Times New Roman" w:hAnsi="Times New Roman" w:cs="Times New Roman"/>
          <w:sz w:val="22"/>
          <w:szCs w:val="22"/>
          <w:lang w:val="en-US"/>
        </w:rPr>
      </w:pPr>
      <w:proofErr w:type="spellStart"/>
      <w:r w:rsidRPr="0019234B">
        <w:rPr>
          <w:rFonts w:ascii="Times New Roman" w:hAnsi="Times New Roman" w:cs="Times New Roman"/>
          <w:sz w:val="22"/>
          <w:szCs w:val="22"/>
          <w:lang w:val="en-US"/>
        </w:rPr>
        <w:t>Encarnación</w:t>
      </w:r>
      <w:proofErr w:type="spellEnd"/>
      <w:r w:rsidRPr="0019234B">
        <w:rPr>
          <w:rFonts w:ascii="Times New Roman" w:hAnsi="Times New Roman" w:cs="Times New Roman"/>
          <w:sz w:val="22"/>
          <w:szCs w:val="22"/>
          <w:lang w:val="en-US"/>
        </w:rPr>
        <w:t xml:space="preserve"> Santos D, </w:t>
      </w:r>
      <w:proofErr w:type="spellStart"/>
      <w:r w:rsidRPr="0019234B">
        <w:rPr>
          <w:rFonts w:ascii="Times New Roman" w:hAnsi="Times New Roman" w:cs="Times New Roman"/>
          <w:sz w:val="22"/>
          <w:szCs w:val="22"/>
          <w:lang w:val="en-US"/>
        </w:rPr>
        <w:t>Chmutin</w:t>
      </w:r>
      <w:proofErr w:type="spellEnd"/>
      <w:r w:rsidRPr="0019234B">
        <w:rPr>
          <w:rFonts w:ascii="Times New Roman" w:hAnsi="Times New Roman" w:cs="Times New Roman"/>
          <w:sz w:val="22"/>
          <w:szCs w:val="22"/>
          <w:lang w:val="en-US"/>
        </w:rPr>
        <w:t xml:space="preserve"> G, </w:t>
      </w:r>
      <w:proofErr w:type="spellStart"/>
      <w:r w:rsidRPr="0019234B">
        <w:rPr>
          <w:rFonts w:ascii="Times New Roman" w:hAnsi="Times New Roman" w:cs="Times New Roman"/>
          <w:sz w:val="22"/>
          <w:szCs w:val="22"/>
          <w:lang w:val="en-US"/>
        </w:rPr>
        <w:t>Chmutin</w:t>
      </w:r>
      <w:proofErr w:type="spellEnd"/>
      <w:r w:rsidRPr="0019234B">
        <w:rPr>
          <w:rFonts w:ascii="Times New Roman" w:hAnsi="Times New Roman" w:cs="Times New Roman"/>
          <w:sz w:val="22"/>
          <w:szCs w:val="22"/>
          <w:lang w:val="en-US"/>
        </w:rPr>
        <w:t xml:space="preserve"> E, </w:t>
      </w:r>
      <w:proofErr w:type="spellStart"/>
      <w:r w:rsidRPr="0019234B">
        <w:rPr>
          <w:rFonts w:ascii="Times New Roman" w:hAnsi="Times New Roman" w:cs="Times New Roman"/>
          <w:sz w:val="22"/>
          <w:szCs w:val="22"/>
          <w:lang w:val="en-US"/>
        </w:rPr>
        <w:t>Boboev</w:t>
      </w:r>
      <w:proofErr w:type="spellEnd"/>
      <w:r w:rsidRPr="0019234B">
        <w:rPr>
          <w:rFonts w:ascii="Times New Roman" w:hAnsi="Times New Roman" w:cs="Times New Roman"/>
          <w:sz w:val="22"/>
          <w:szCs w:val="22"/>
          <w:lang w:val="en-US"/>
        </w:rPr>
        <w:t xml:space="preserve"> SI, </w:t>
      </w:r>
      <w:proofErr w:type="spellStart"/>
      <w:r w:rsidRPr="0019234B">
        <w:rPr>
          <w:rFonts w:ascii="Times New Roman" w:hAnsi="Times New Roman" w:cs="Times New Roman"/>
          <w:sz w:val="22"/>
          <w:szCs w:val="22"/>
          <w:lang w:val="en-US"/>
        </w:rPr>
        <w:t>Bodanova</w:t>
      </w:r>
      <w:proofErr w:type="spellEnd"/>
      <w:r w:rsidRPr="0019234B">
        <w:rPr>
          <w:rFonts w:ascii="Times New Roman" w:hAnsi="Times New Roman" w:cs="Times New Roman"/>
          <w:sz w:val="22"/>
          <w:szCs w:val="22"/>
          <w:lang w:val="en-US"/>
        </w:rPr>
        <w:t xml:space="preserve"> S, Ahmed N, et al. Management of </w:t>
      </w:r>
      <w:proofErr w:type="spellStart"/>
      <w:r w:rsidRPr="0019234B">
        <w:rPr>
          <w:rFonts w:ascii="Times New Roman" w:hAnsi="Times New Roman" w:cs="Times New Roman"/>
          <w:sz w:val="22"/>
          <w:szCs w:val="22"/>
          <w:lang w:val="en-US"/>
        </w:rPr>
        <w:t>moyamoya</w:t>
      </w:r>
      <w:proofErr w:type="spellEnd"/>
      <w:r w:rsidRPr="0019234B">
        <w:rPr>
          <w:rFonts w:ascii="Times New Roman" w:hAnsi="Times New Roman" w:cs="Times New Roman"/>
          <w:sz w:val="22"/>
          <w:szCs w:val="22"/>
          <w:lang w:val="en-US"/>
        </w:rPr>
        <w:t xml:space="preserve"> disease: a systematic review and meta-analysis on surgical revascularization, outcomes and clinical manifestations. Romanian </w:t>
      </w:r>
      <w:proofErr w:type="spellStart"/>
      <w:r w:rsidRPr="0019234B">
        <w:rPr>
          <w:rFonts w:ascii="Times New Roman" w:hAnsi="Times New Roman" w:cs="Times New Roman"/>
          <w:sz w:val="22"/>
          <w:szCs w:val="22"/>
          <w:lang w:val="en-US"/>
        </w:rPr>
        <w:t>Neurosurg</w:t>
      </w:r>
      <w:proofErr w:type="spellEnd"/>
      <w:r w:rsidRPr="0019234B">
        <w:rPr>
          <w:rFonts w:ascii="Times New Roman" w:hAnsi="Times New Roman" w:cs="Times New Roman"/>
          <w:sz w:val="22"/>
          <w:szCs w:val="22"/>
          <w:lang w:val="en-US"/>
        </w:rPr>
        <w:t>. 2025;39(4):401–14.</w:t>
      </w:r>
    </w:p>
    <w:p w14:paraId="0E5283D1" w14:textId="7A896996" w:rsidR="00EB5977" w:rsidRPr="006D502F" w:rsidRDefault="00EB5977" w:rsidP="00E14EC1">
      <w:pPr>
        <w:pStyle w:val="ListParagraph"/>
        <w:spacing w:line="276" w:lineRule="auto"/>
        <w:ind w:left="284"/>
        <w:jc w:val="both"/>
        <w:rPr>
          <w:rFonts w:ascii="Times New Roman" w:hAnsi="Times New Roman" w:cs="Times New Roman"/>
          <w:color w:val="000000" w:themeColor="text1"/>
          <w:sz w:val="22"/>
          <w:szCs w:val="22"/>
        </w:rPr>
      </w:pPr>
    </w:p>
    <w:sectPr w:rsidR="00EB5977" w:rsidRPr="006D502F" w:rsidSect="006031E0">
      <w:headerReference w:type="first" r:id="rId17"/>
      <w:pgSz w:w="11906" w:h="16838"/>
      <w:pgMar w:top="1134" w:right="1134" w:bottom="1134" w:left="1134" w:header="448"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3DF14" w14:textId="77777777" w:rsidR="00013F75" w:rsidRDefault="00013F75" w:rsidP="00A479CC">
      <w:r>
        <w:separator/>
      </w:r>
    </w:p>
  </w:endnote>
  <w:endnote w:type="continuationSeparator" w:id="0">
    <w:p w14:paraId="0B458F52" w14:textId="77777777" w:rsidR="00013F75" w:rsidRDefault="00013F75" w:rsidP="00A47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IPPN M+ Gulliver">
    <w:altName w:val="Cambria"/>
    <w:panose1 w:val="020B0604020202020204"/>
    <w:charset w:val="00"/>
    <w:family w:val="roman"/>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panose1 w:val="020B0304020202020204"/>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TimesNewRomanPS">
    <w:altName w:val="Times New Roman"/>
    <w:panose1 w:val="020B0604020202020204"/>
    <w:charset w:val="00"/>
    <w:family w:val="roman"/>
    <w:notTrueType/>
    <w:pitch w:val="default"/>
  </w:font>
  <w:font w:name="Times">
    <w:altName w:val="Times New Roman"/>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886C6" w14:textId="77777777" w:rsidR="00013F75" w:rsidRDefault="00013F75" w:rsidP="00A479CC">
      <w:r>
        <w:separator/>
      </w:r>
    </w:p>
  </w:footnote>
  <w:footnote w:type="continuationSeparator" w:id="0">
    <w:p w14:paraId="3D560BC3" w14:textId="77777777" w:rsidR="00013F75" w:rsidRDefault="00013F75" w:rsidP="00A47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2"/>
        <w:szCs w:val="22"/>
      </w:rPr>
      <w:id w:val="-1058165524"/>
      <w:docPartObj>
        <w:docPartGallery w:val="Page Numbers (Top of Page)"/>
        <w:docPartUnique/>
      </w:docPartObj>
    </w:sdtPr>
    <w:sdtContent>
      <w:p w14:paraId="2441F035" w14:textId="77777777" w:rsidR="001532D2" w:rsidRPr="00397F15" w:rsidRDefault="001532D2" w:rsidP="001532D2">
        <w:pPr>
          <w:pStyle w:val="Header"/>
          <w:framePr w:wrap="none" w:vAnchor="text" w:hAnchor="margin" w:xAlign="right" w:y="1"/>
          <w:rPr>
            <w:rStyle w:val="PageNumber"/>
            <w:rFonts w:ascii="Times New Roman" w:hAnsi="Times New Roman" w:cs="Times New Roman"/>
            <w:sz w:val="22"/>
            <w:szCs w:val="22"/>
          </w:rPr>
        </w:pPr>
        <w:r w:rsidRPr="00397F15">
          <w:rPr>
            <w:rStyle w:val="PageNumber"/>
            <w:rFonts w:ascii="Times New Roman" w:hAnsi="Times New Roman" w:cs="Times New Roman"/>
            <w:sz w:val="22"/>
            <w:szCs w:val="22"/>
          </w:rPr>
          <w:fldChar w:fldCharType="begin"/>
        </w:r>
        <w:r w:rsidRPr="00397F15">
          <w:rPr>
            <w:rStyle w:val="PageNumber"/>
            <w:rFonts w:ascii="Times New Roman" w:hAnsi="Times New Roman" w:cs="Times New Roman"/>
            <w:sz w:val="22"/>
            <w:szCs w:val="22"/>
          </w:rPr>
          <w:instrText xml:space="preserve"> PAGE </w:instrText>
        </w:r>
        <w:r w:rsidRPr="00397F15">
          <w:rPr>
            <w:rStyle w:val="PageNumber"/>
            <w:rFonts w:ascii="Times New Roman" w:hAnsi="Times New Roman" w:cs="Times New Roman"/>
            <w:sz w:val="22"/>
            <w:szCs w:val="22"/>
          </w:rPr>
          <w:fldChar w:fldCharType="separate"/>
        </w:r>
        <w:r>
          <w:rPr>
            <w:rStyle w:val="PageNumber"/>
            <w:sz w:val="22"/>
            <w:szCs w:val="22"/>
          </w:rPr>
          <w:t>83</w:t>
        </w:r>
        <w:r w:rsidRPr="00397F15">
          <w:rPr>
            <w:rStyle w:val="PageNumber"/>
            <w:rFonts w:ascii="Times New Roman" w:hAnsi="Times New Roman" w:cs="Times New Roman"/>
            <w:sz w:val="22"/>
            <w:szCs w:val="22"/>
          </w:rPr>
          <w:fldChar w:fldCharType="end"/>
        </w:r>
      </w:p>
    </w:sdtContent>
  </w:sdt>
  <w:p w14:paraId="0831A2B5" w14:textId="2751B2AD" w:rsidR="001532D2" w:rsidRDefault="006031E0" w:rsidP="006031E0">
    <w:pPr>
      <w:pStyle w:val="Header"/>
      <w:ind w:right="360"/>
      <w:jc w:val="center"/>
    </w:pPr>
    <w:r w:rsidRPr="005147C9">
      <w:rPr>
        <w:rFonts w:ascii="Times New Roman" w:eastAsia="SimSun" w:hAnsi="Times New Roman" w:cs="Times New Roman"/>
        <w:i/>
        <w:color w:val="000000"/>
        <w:sz w:val="21"/>
        <w:szCs w:val="13"/>
        <w:lang w:val="en-US" w:eastAsia="en-IN"/>
      </w:rPr>
      <w:t>Asian Australasian Neuro and Health Science Journal</w:t>
    </w:r>
    <w:r>
      <w:rPr>
        <w:rFonts w:ascii="Times New Roman" w:eastAsia="SimSun" w:hAnsi="Times New Roman" w:cs="Times New Roman"/>
        <w:i/>
        <w:color w:val="000000"/>
        <w:sz w:val="21"/>
        <w:szCs w:val="13"/>
        <w:lang w:val="en-US" w:eastAsia="en-IN"/>
      </w:rPr>
      <w:t xml:space="preserve"> (AANHS J) Vol. 08, No. 01 (2026</w:t>
    </w:r>
    <w:r w:rsidRPr="005147C9">
      <w:rPr>
        <w:rFonts w:ascii="Times New Roman" w:eastAsia="SimSun" w:hAnsi="Times New Roman" w:cs="Times New Roman"/>
        <w:i/>
        <w:color w:val="000000"/>
        <w:sz w:val="21"/>
        <w:szCs w:val="13"/>
        <w:lang w:val="en-US" w:eastAsia="en-IN"/>
      </w:rPr>
      <w:t xml:space="preserve">) </w:t>
    </w:r>
    <w:r>
      <w:rPr>
        <w:rFonts w:ascii="Times New Roman" w:eastAsia="SimSun" w:hAnsi="Times New Roman" w:cs="Times New Roman"/>
        <w:i/>
        <w:color w:val="000000"/>
        <w:sz w:val="21"/>
        <w:szCs w:val="13"/>
        <w:lang w:val="en-US" w:eastAsia="en-IN"/>
      </w:rPr>
      <w:t>01 - 06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256B3" w14:textId="5845D884" w:rsidR="00397F15" w:rsidRPr="009B05FE" w:rsidRDefault="00397F15" w:rsidP="00397F15">
    <w:pPr>
      <w:pStyle w:val="Header"/>
      <w:ind w:right="360"/>
      <w:jc w:val="center"/>
    </w:pPr>
    <w:r w:rsidRPr="005147C9">
      <w:rPr>
        <w:rFonts w:ascii="Times New Roman" w:eastAsia="SimSun" w:hAnsi="Times New Roman" w:cs="Times New Roman"/>
        <w:i/>
        <w:color w:val="000000"/>
        <w:sz w:val="21"/>
        <w:szCs w:val="13"/>
        <w:lang w:val="en-US" w:eastAsia="en-IN"/>
      </w:rPr>
      <w:t>Asian Australasian Neuro and Health Science Journal</w:t>
    </w:r>
    <w:r>
      <w:rPr>
        <w:rFonts w:ascii="Times New Roman" w:eastAsia="SimSun" w:hAnsi="Times New Roman" w:cs="Times New Roman"/>
        <w:i/>
        <w:color w:val="000000"/>
        <w:sz w:val="21"/>
        <w:szCs w:val="13"/>
        <w:lang w:val="en-US" w:eastAsia="en-IN"/>
      </w:rPr>
      <w:t xml:space="preserve"> (AANHS J) Vol. 0</w:t>
    </w:r>
    <w:r w:rsidR="006031E0">
      <w:rPr>
        <w:rFonts w:ascii="Times New Roman" w:eastAsia="SimSun" w:hAnsi="Times New Roman" w:cs="Times New Roman"/>
        <w:i/>
        <w:color w:val="000000"/>
        <w:sz w:val="21"/>
        <w:szCs w:val="13"/>
        <w:lang w:val="en-US" w:eastAsia="en-IN"/>
      </w:rPr>
      <w:t>8</w:t>
    </w:r>
    <w:r>
      <w:rPr>
        <w:rFonts w:ascii="Times New Roman" w:eastAsia="SimSun" w:hAnsi="Times New Roman" w:cs="Times New Roman"/>
        <w:i/>
        <w:color w:val="000000"/>
        <w:sz w:val="21"/>
        <w:szCs w:val="13"/>
        <w:lang w:val="en-US" w:eastAsia="en-IN"/>
      </w:rPr>
      <w:t>, No. 0</w:t>
    </w:r>
    <w:r w:rsidR="006031E0">
      <w:rPr>
        <w:rFonts w:ascii="Times New Roman" w:eastAsia="SimSun" w:hAnsi="Times New Roman" w:cs="Times New Roman"/>
        <w:i/>
        <w:color w:val="000000"/>
        <w:sz w:val="21"/>
        <w:szCs w:val="13"/>
        <w:lang w:val="en-US" w:eastAsia="en-IN"/>
      </w:rPr>
      <w:t>1</w:t>
    </w:r>
    <w:r>
      <w:rPr>
        <w:rFonts w:ascii="Times New Roman" w:eastAsia="SimSun" w:hAnsi="Times New Roman" w:cs="Times New Roman"/>
        <w:i/>
        <w:color w:val="000000"/>
        <w:sz w:val="21"/>
        <w:szCs w:val="13"/>
        <w:lang w:val="en-US" w:eastAsia="en-IN"/>
      </w:rPr>
      <w:t xml:space="preserve"> (20</w:t>
    </w:r>
    <w:r w:rsidR="006031E0">
      <w:rPr>
        <w:rFonts w:ascii="Times New Roman" w:eastAsia="SimSun" w:hAnsi="Times New Roman" w:cs="Times New Roman"/>
        <w:i/>
        <w:color w:val="000000"/>
        <w:sz w:val="21"/>
        <w:szCs w:val="13"/>
        <w:lang w:val="en-US" w:eastAsia="en-IN"/>
      </w:rPr>
      <w:t>26</w:t>
    </w:r>
    <w:r w:rsidRPr="005147C9">
      <w:rPr>
        <w:rFonts w:ascii="Times New Roman" w:eastAsia="SimSun" w:hAnsi="Times New Roman" w:cs="Times New Roman"/>
        <w:i/>
        <w:color w:val="000000"/>
        <w:sz w:val="21"/>
        <w:szCs w:val="13"/>
        <w:lang w:val="en-US" w:eastAsia="en-IN"/>
      </w:rPr>
      <w:t xml:space="preserve">) </w:t>
    </w:r>
    <w:r w:rsidR="006031E0">
      <w:rPr>
        <w:rFonts w:ascii="Times New Roman" w:eastAsia="SimSun" w:hAnsi="Times New Roman" w:cs="Times New Roman"/>
        <w:i/>
        <w:color w:val="000000"/>
        <w:sz w:val="21"/>
        <w:szCs w:val="13"/>
        <w:lang w:val="en-US" w:eastAsia="en-IN"/>
      </w:rPr>
      <w:t>01</w:t>
    </w:r>
    <w:r>
      <w:rPr>
        <w:rFonts w:ascii="Times New Roman" w:eastAsia="SimSun" w:hAnsi="Times New Roman" w:cs="Times New Roman"/>
        <w:i/>
        <w:color w:val="000000"/>
        <w:sz w:val="21"/>
        <w:szCs w:val="13"/>
        <w:lang w:val="en-US" w:eastAsia="en-IN"/>
      </w:rPr>
      <w:t xml:space="preserve"> - </w:t>
    </w:r>
    <w:r w:rsidR="006031E0">
      <w:rPr>
        <w:rFonts w:ascii="Times New Roman" w:eastAsia="SimSun" w:hAnsi="Times New Roman" w:cs="Times New Roman"/>
        <w:i/>
        <w:color w:val="000000"/>
        <w:sz w:val="21"/>
        <w:szCs w:val="13"/>
        <w:lang w:val="en-US" w:eastAsia="en-IN"/>
      </w:rPr>
      <w:t>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2"/>
        <w:szCs w:val="22"/>
      </w:rPr>
      <w:id w:val="-1030564741"/>
      <w:docPartObj>
        <w:docPartGallery w:val="Page Numbers (Top of Page)"/>
        <w:docPartUnique/>
      </w:docPartObj>
    </w:sdtPr>
    <w:sdtContent>
      <w:p w14:paraId="080B373C" w14:textId="18E49670" w:rsidR="006031E0" w:rsidRPr="006031E0" w:rsidRDefault="006031E0" w:rsidP="003A3008">
        <w:pPr>
          <w:pStyle w:val="Header"/>
          <w:framePr w:wrap="none" w:vAnchor="text" w:hAnchor="margin" w:xAlign="right" w:y="1"/>
          <w:rPr>
            <w:rStyle w:val="PageNumber"/>
            <w:rFonts w:ascii="Times New Roman" w:hAnsi="Times New Roman" w:cs="Times New Roman"/>
            <w:sz w:val="22"/>
            <w:szCs w:val="22"/>
          </w:rPr>
        </w:pPr>
        <w:r w:rsidRPr="006031E0">
          <w:rPr>
            <w:rStyle w:val="PageNumber"/>
            <w:rFonts w:ascii="Times New Roman" w:hAnsi="Times New Roman" w:cs="Times New Roman"/>
            <w:sz w:val="22"/>
            <w:szCs w:val="22"/>
          </w:rPr>
          <w:fldChar w:fldCharType="begin"/>
        </w:r>
        <w:r w:rsidRPr="006031E0">
          <w:rPr>
            <w:rStyle w:val="PageNumber"/>
            <w:rFonts w:ascii="Times New Roman" w:hAnsi="Times New Roman" w:cs="Times New Roman"/>
            <w:sz w:val="22"/>
            <w:szCs w:val="22"/>
          </w:rPr>
          <w:instrText xml:space="preserve"> PAGE </w:instrText>
        </w:r>
        <w:r w:rsidRPr="006031E0">
          <w:rPr>
            <w:rStyle w:val="PageNumber"/>
            <w:rFonts w:ascii="Times New Roman" w:hAnsi="Times New Roman" w:cs="Times New Roman"/>
            <w:sz w:val="22"/>
            <w:szCs w:val="22"/>
          </w:rPr>
          <w:fldChar w:fldCharType="separate"/>
        </w:r>
        <w:r w:rsidRPr="006031E0">
          <w:rPr>
            <w:rStyle w:val="PageNumber"/>
            <w:rFonts w:ascii="Times New Roman" w:hAnsi="Times New Roman" w:cs="Times New Roman"/>
            <w:noProof/>
            <w:sz w:val="22"/>
            <w:szCs w:val="22"/>
          </w:rPr>
          <w:t>2</w:t>
        </w:r>
        <w:r w:rsidRPr="006031E0">
          <w:rPr>
            <w:rStyle w:val="PageNumber"/>
            <w:rFonts w:ascii="Times New Roman" w:hAnsi="Times New Roman" w:cs="Times New Roman"/>
            <w:sz w:val="22"/>
            <w:szCs w:val="22"/>
          </w:rPr>
          <w:fldChar w:fldCharType="end"/>
        </w:r>
      </w:p>
    </w:sdtContent>
  </w:sdt>
  <w:p w14:paraId="3A628982" w14:textId="77777777" w:rsidR="006031E0" w:rsidRPr="009B05FE" w:rsidRDefault="006031E0" w:rsidP="00397F15">
    <w:pPr>
      <w:pStyle w:val="Header"/>
      <w:ind w:right="360"/>
      <w:jc w:val="center"/>
    </w:pPr>
    <w:r w:rsidRPr="005147C9">
      <w:rPr>
        <w:rFonts w:ascii="Times New Roman" w:eastAsia="SimSun" w:hAnsi="Times New Roman" w:cs="Times New Roman"/>
        <w:i/>
        <w:color w:val="000000"/>
        <w:sz w:val="21"/>
        <w:szCs w:val="13"/>
        <w:lang w:val="en-US" w:eastAsia="en-IN"/>
      </w:rPr>
      <w:t>Asian Australasian Neuro and Health Science Journal</w:t>
    </w:r>
    <w:r>
      <w:rPr>
        <w:rFonts w:ascii="Times New Roman" w:eastAsia="SimSun" w:hAnsi="Times New Roman" w:cs="Times New Roman"/>
        <w:i/>
        <w:color w:val="000000"/>
        <w:sz w:val="21"/>
        <w:szCs w:val="13"/>
        <w:lang w:val="en-US" w:eastAsia="en-IN"/>
      </w:rPr>
      <w:t xml:space="preserve"> (AANHS J) Vol. 08, No. 01 (2026</w:t>
    </w:r>
    <w:r w:rsidRPr="005147C9">
      <w:rPr>
        <w:rFonts w:ascii="Times New Roman" w:eastAsia="SimSun" w:hAnsi="Times New Roman" w:cs="Times New Roman"/>
        <w:i/>
        <w:color w:val="000000"/>
        <w:sz w:val="21"/>
        <w:szCs w:val="13"/>
        <w:lang w:val="en-US" w:eastAsia="en-IN"/>
      </w:rPr>
      <w:t xml:space="preserve">) </w:t>
    </w:r>
    <w:r>
      <w:rPr>
        <w:rFonts w:ascii="Times New Roman" w:eastAsia="SimSun" w:hAnsi="Times New Roman" w:cs="Times New Roman"/>
        <w:i/>
        <w:color w:val="000000"/>
        <w:sz w:val="21"/>
        <w:szCs w:val="13"/>
        <w:lang w:val="en-US" w:eastAsia="en-IN"/>
      </w:rPr>
      <w:t>01 - 06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75982"/>
    <w:multiLevelType w:val="hybridMultilevel"/>
    <w:tmpl w:val="C9788F80"/>
    <w:lvl w:ilvl="0" w:tplc="762859C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7B3F68"/>
    <w:multiLevelType w:val="hybridMultilevel"/>
    <w:tmpl w:val="C9788F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9F6333"/>
    <w:multiLevelType w:val="multilevel"/>
    <w:tmpl w:val="1FFA2506"/>
    <w:lvl w:ilvl="0">
      <w:start w:val="2"/>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D2B49A2"/>
    <w:multiLevelType w:val="hybridMultilevel"/>
    <w:tmpl w:val="3A72849C"/>
    <w:lvl w:ilvl="0" w:tplc="8C2049D0">
      <w:start w:val="1"/>
      <w:numFmt w:val="decimal"/>
      <w:lvlText w:val="[%1]"/>
      <w:lvlJc w:val="left"/>
      <w:pPr>
        <w:ind w:left="5670" w:hanging="360"/>
      </w:pPr>
      <w:rPr>
        <w:rFonts w:hint="default"/>
        <w:i w:val="0"/>
      </w:rPr>
    </w:lvl>
    <w:lvl w:ilvl="1" w:tplc="196CA68E" w:tentative="1">
      <w:start w:val="1"/>
      <w:numFmt w:val="lowerLetter"/>
      <w:lvlText w:val="%2."/>
      <w:lvlJc w:val="left"/>
      <w:pPr>
        <w:ind w:left="1440" w:hanging="360"/>
      </w:pPr>
    </w:lvl>
    <w:lvl w:ilvl="2" w:tplc="2758CDDC" w:tentative="1">
      <w:start w:val="1"/>
      <w:numFmt w:val="lowerRoman"/>
      <w:lvlText w:val="%3."/>
      <w:lvlJc w:val="right"/>
      <w:pPr>
        <w:ind w:left="2160" w:hanging="180"/>
      </w:pPr>
    </w:lvl>
    <w:lvl w:ilvl="3" w:tplc="0FFED896" w:tentative="1">
      <w:start w:val="1"/>
      <w:numFmt w:val="decimal"/>
      <w:lvlText w:val="%4."/>
      <w:lvlJc w:val="left"/>
      <w:pPr>
        <w:ind w:left="2880" w:hanging="360"/>
      </w:pPr>
    </w:lvl>
    <w:lvl w:ilvl="4" w:tplc="AA0E6F1A" w:tentative="1">
      <w:start w:val="1"/>
      <w:numFmt w:val="lowerLetter"/>
      <w:lvlText w:val="%5."/>
      <w:lvlJc w:val="left"/>
      <w:pPr>
        <w:ind w:left="3600" w:hanging="360"/>
      </w:pPr>
    </w:lvl>
    <w:lvl w:ilvl="5" w:tplc="BDB8C98E" w:tentative="1">
      <w:start w:val="1"/>
      <w:numFmt w:val="lowerRoman"/>
      <w:lvlText w:val="%6."/>
      <w:lvlJc w:val="right"/>
      <w:pPr>
        <w:ind w:left="4320" w:hanging="180"/>
      </w:pPr>
    </w:lvl>
    <w:lvl w:ilvl="6" w:tplc="F8162CA6" w:tentative="1">
      <w:start w:val="1"/>
      <w:numFmt w:val="decimal"/>
      <w:lvlText w:val="%7."/>
      <w:lvlJc w:val="left"/>
      <w:pPr>
        <w:ind w:left="5040" w:hanging="360"/>
      </w:pPr>
    </w:lvl>
    <w:lvl w:ilvl="7" w:tplc="44FE22F6" w:tentative="1">
      <w:start w:val="1"/>
      <w:numFmt w:val="lowerLetter"/>
      <w:lvlText w:val="%8."/>
      <w:lvlJc w:val="left"/>
      <w:pPr>
        <w:ind w:left="5760" w:hanging="360"/>
      </w:pPr>
    </w:lvl>
    <w:lvl w:ilvl="8" w:tplc="8AA0C814" w:tentative="1">
      <w:start w:val="1"/>
      <w:numFmt w:val="lowerRoman"/>
      <w:lvlText w:val="%9."/>
      <w:lvlJc w:val="right"/>
      <w:pPr>
        <w:ind w:left="6480" w:hanging="180"/>
      </w:pPr>
    </w:lvl>
  </w:abstractNum>
  <w:abstractNum w:abstractNumId="4" w15:restartNumberingAfterBreak="0">
    <w:nsid w:val="0D360A2C"/>
    <w:multiLevelType w:val="hybridMultilevel"/>
    <w:tmpl w:val="C2189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9A0D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8C6F02"/>
    <w:multiLevelType w:val="multilevel"/>
    <w:tmpl w:val="EE526C72"/>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7"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8" w15:restartNumberingAfterBreak="0">
    <w:nsid w:val="37B27742"/>
    <w:multiLevelType w:val="multilevel"/>
    <w:tmpl w:val="7E84FA68"/>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0" w15:restartNumberingAfterBreak="0">
    <w:nsid w:val="5C0A3491"/>
    <w:multiLevelType w:val="hybridMultilevel"/>
    <w:tmpl w:val="C9788F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2" w15:restartNumberingAfterBreak="0">
    <w:nsid w:val="62506DC0"/>
    <w:multiLevelType w:val="hybridMultilevel"/>
    <w:tmpl w:val="508A0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FA7EAD"/>
    <w:multiLevelType w:val="hybridMultilevel"/>
    <w:tmpl w:val="8402C032"/>
    <w:lvl w:ilvl="0" w:tplc="F1FC0A0A">
      <w:start w:val="1"/>
      <w:numFmt w:val="decimal"/>
      <w:lvlText w:val="%1."/>
      <w:lvlJc w:val="left"/>
      <w:pPr>
        <w:ind w:left="720" w:hanging="360"/>
      </w:pPr>
      <w:rPr>
        <w:rFonts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B92CAA"/>
    <w:multiLevelType w:val="hybridMultilevel"/>
    <w:tmpl w:val="E8DE1104"/>
    <w:lvl w:ilvl="0" w:tplc="41302E96">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1576911"/>
    <w:multiLevelType w:val="multilevel"/>
    <w:tmpl w:val="77E4C1F0"/>
    <w:lvl w:ilvl="0">
      <w:start w:val="1"/>
      <w:numFmt w:val="decimal"/>
      <w:pStyle w:val="TP-Section"/>
      <w:lvlText w:val="%1"/>
      <w:lvlJc w:val="left"/>
      <w:pPr>
        <w:ind w:left="432" w:hanging="432"/>
      </w:pPr>
      <w:rPr>
        <w:rFonts w:hint="default"/>
        <w:b/>
      </w:rPr>
    </w:lvl>
    <w:lvl w:ilvl="1">
      <w:start w:val="1"/>
      <w:numFmt w:val="decimal"/>
      <w:pStyle w:val="TP-Subsection"/>
      <w:lvlText w:val="%1.%2"/>
      <w:lvlJc w:val="left"/>
      <w:pPr>
        <w:ind w:left="576" w:hanging="576"/>
      </w:pPr>
      <w:rPr>
        <w:rFonts w:hint="default"/>
      </w:rPr>
    </w:lvl>
    <w:lvl w:ilvl="2">
      <w:start w:val="1"/>
      <w:numFmt w:val="upperLetter"/>
      <w:pStyle w:val="TP-Subsubsection"/>
      <w:lvlText w:val="%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74B22AEB"/>
    <w:multiLevelType w:val="hybridMultilevel"/>
    <w:tmpl w:val="34EC8A9C"/>
    <w:lvl w:ilvl="0" w:tplc="286C3CB2">
      <w:start w:val="1"/>
      <w:numFmt w:val="decimal"/>
      <w:lvlText w:val="%1."/>
      <w:lvlJc w:val="left"/>
      <w:pPr>
        <w:ind w:left="45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EF34AE"/>
    <w:multiLevelType w:val="multilevel"/>
    <w:tmpl w:val="FC5288FC"/>
    <w:lvl w:ilvl="0">
      <w:start w:val="3"/>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AB1273E"/>
    <w:multiLevelType w:val="hybridMultilevel"/>
    <w:tmpl w:val="44FAB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7325546">
    <w:abstractNumId w:val="9"/>
  </w:num>
  <w:num w:numId="2" w16cid:durableId="1867406679">
    <w:abstractNumId w:val="7"/>
  </w:num>
  <w:num w:numId="3" w16cid:durableId="253787322">
    <w:abstractNumId w:val="11"/>
  </w:num>
  <w:num w:numId="4" w16cid:durableId="354111148">
    <w:abstractNumId w:val="14"/>
  </w:num>
  <w:num w:numId="5" w16cid:durableId="315257344">
    <w:abstractNumId w:val="15"/>
  </w:num>
  <w:num w:numId="6" w16cid:durableId="614681805">
    <w:abstractNumId w:val="3"/>
  </w:num>
  <w:num w:numId="7" w16cid:durableId="2075354034">
    <w:abstractNumId w:val="13"/>
  </w:num>
  <w:num w:numId="8" w16cid:durableId="1642807847">
    <w:abstractNumId w:val="4"/>
  </w:num>
  <w:num w:numId="9" w16cid:durableId="1617758689">
    <w:abstractNumId w:val="16"/>
  </w:num>
  <w:num w:numId="10" w16cid:durableId="1126585907">
    <w:abstractNumId w:val="0"/>
  </w:num>
  <w:num w:numId="11" w16cid:durableId="977101555">
    <w:abstractNumId w:val="12"/>
  </w:num>
  <w:num w:numId="12" w16cid:durableId="1878659411">
    <w:abstractNumId w:val="18"/>
  </w:num>
  <w:num w:numId="13" w16cid:durableId="214707590">
    <w:abstractNumId w:val="8"/>
  </w:num>
  <w:num w:numId="14" w16cid:durableId="274141160">
    <w:abstractNumId w:val="1"/>
  </w:num>
  <w:num w:numId="15" w16cid:durableId="25907620">
    <w:abstractNumId w:val="10"/>
  </w:num>
  <w:num w:numId="16" w16cid:durableId="378209221">
    <w:abstractNumId w:val="6"/>
  </w:num>
  <w:num w:numId="17" w16cid:durableId="948048603">
    <w:abstractNumId w:val="5"/>
  </w:num>
  <w:num w:numId="18" w16cid:durableId="1387028088">
    <w:abstractNumId w:val="17"/>
  </w:num>
  <w:num w:numId="19" w16cid:durableId="16650884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9CC"/>
    <w:rsid w:val="000033F0"/>
    <w:rsid w:val="0000725F"/>
    <w:rsid w:val="00013F75"/>
    <w:rsid w:val="0001419A"/>
    <w:rsid w:val="00023C36"/>
    <w:rsid w:val="00034457"/>
    <w:rsid w:val="0004431A"/>
    <w:rsid w:val="00061BAB"/>
    <w:rsid w:val="0006592F"/>
    <w:rsid w:val="00072D6E"/>
    <w:rsid w:val="00080262"/>
    <w:rsid w:val="000A4A70"/>
    <w:rsid w:val="000B4A2C"/>
    <w:rsid w:val="000C0F2E"/>
    <w:rsid w:val="000D2BFE"/>
    <w:rsid w:val="000D4738"/>
    <w:rsid w:val="000D78CA"/>
    <w:rsid w:val="000D7EF4"/>
    <w:rsid w:val="00143181"/>
    <w:rsid w:val="001532D2"/>
    <w:rsid w:val="00167DB7"/>
    <w:rsid w:val="00173005"/>
    <w:rsid w:val="001850FE"/>
    <w:rsid w:val="0019234B"/>
    <w:rsid w:val="001A4B42"/>
    <w:rsid w:val="001B3E34"/>
    <w:rsid w:val="001B3E3D"/>
    <w:rsid w:val="001C672B"/>
    <w:rsid w:val="001D2CCE"/>
    <w:rsid w:val="001D37EB"/>
    <w:rsid w:val="001F3334"/>
    <w:rsid w:val="001F66DF"/>
    <w:rsid w:val="00213D64"/>
    <w:rsid w:val="0023208F"/>
    <w:rsid w:val="002A1249"/>
    <w:rsid w:val="002B64E8"/>
    <w:rsid w:val="002C2361"/>
    <w:rsid w:val="002D03F2"/>
    <w:rsid w:val="002D5F68"/>
    <w:rsid w:val="00302DD6"/>
    <w:rsid w:val="00303D76"/>
    <w:rsid w:val="0031367A"/>
    <w:rsid w:val="003208FF"/>
    <w:rsid w:val="003242CF"/>
    <w:rsid w:val="0035283F"/>
    <w:rsid w:val="0035592E"/>
    <w:rsid w:val="0035695C"/>
    <w:rsid w:val="00390FEF"/>
    <w:rsid w:val="00396AC5"/>
    <w:rsid w:val="00397F15"/>
    <w:rsid w:val="003A140E"/>
    <w:rsid w:val="003A4E2B"/>
    <w:rsid w:val="003C0460"/>
    <w:rsid w:val="003D01B1"/>
    <w:rsid w:val="003E7409"/>
    <w:rsid w:val="003F4559"/>
    <w:rsid w:val="004154E5"/>
    <w:rsid w:val="00421362"/>
    <w:rsid w:val="00426E36"/>
    <w:rsid w:val="00430A13"/>
    <w:rsid w:val="00447FC3"/>
    <w:rsid w:val="004504EC"/>
    <w:rsid w:val="004527ED"/>
    <w:rsid w:val="00474A92"/>
    <w:rsid w:val="004905EF"/>
    <w:rsid w:val="004E67CD"/>
    <w:rsid w:val="004F03D8"/>
    <w:rsid w:val="004F18AE"/>
    <w:rsid w:val="004F5AF3"/>
    <w:rsid w:val="00502661"/>
    <w:rsid w:val="00520491"/>
    <w:rsid w:val="00530596"/>
    <w:rsid w:val="00531D80"/>
    <w:rsid w:val="005451B3"/>
    <w:rsid w:val="00585D44"/>
    <w:rsid w:val="00592FE6"/>
    <w:rsid w:val="005D0A93"/>
    <w:rsid w:val="005D40B8"/>
    <w:rsid w:val="006004C4"/>
    <w:rsid w:val="006031E0"/>
    <w:rsid w:val="00627AEF"/>
    <w:rsid w:val="006350B9"/>
    <w:rsid w:val="00656A3A"/>
    <w:rsid w:val="0066073B"/>
    <w:rsid w:val="006613A5"/>
    <w:rsid w:val="0066249C"/>
    <w:rsid w:val="006A0AF7"/>
    <w:rsid w:val="006A52FD"/>
    <w:rsid w:val="006D0D4C"/>
    <w:rsid w:val="006D502F"/>
    <w:rsid w:val="006D5176"/>
    <w:rsid w:val="006D62D5"/>
    <w:rsid w:val="006F6902"/>
    <w:rsid w:val="006F719B"/>
    <w:rsid w:val="00710CD0"/>
    <w:rsid w:val="00717BC4"/>
    <w:rsid w:val="00735117"/>
    <w:rsid w:val="00751881"/>
    <w:rsid w:val="0075697D"/>
    <w:rsid w:val="007656AD"/>
    <w:rsid w:val="007948B1"/>
    <w:rsid w:val="007A4FE9"/>
    <w:rsid w:val="007A5C0B"/>
    <w:rsid w:val="007A7802"/>
    <w:rsid w:val="007B018C"/>
    <w:rsid w:val="007B4D60"/>
    <w:rsid w:val="007D607C"/>
    <w:rsid w:val="007F3ABD"/>
    <w:rsid w:val="0086103A"/>
    <w:rsid w:val="00863190"/>
    <w:rsid w:val="0087251C"/>
    <w:rsid w:val="00880AAE"/>
    <w:rsid w:val="00880E61"/>
    <w:rsid w:val="00882B4D"/>
    <w:rsid w:val="00883254"/>
    <w:rsid w:val="00887E4F"/>
    <w:rsid w:val="00893A91"/>
    <w:rsid w:val="008B0F34"/>
    <w:rsid w:val="008C2BE0"/>
    <w:rsid w:val="00941ED4"/>
    <w:rsid w:val="00954BB5"/>
    <w:rsid w:val="009550D0"/>
    <w:rsid w:val="00966544"/>
    <w:rsid w:val="009704F6"/>
    <w:rsid w:val="00976365"/>
    <w:rsid w:val="009B05FE"/>
    <w:rsid w:val="009B7F32"/>
    <w:rsid w:val="009D4D4B"/>
    <w:rsid w:val="009E0065"/>
    <w:rsid w:val="009F50B5"/>
    <w:rsid w:val="00A05CFE"/>
    <w:rsid w:val="00A30C7B"/>
    <w:rsid w:val="00A479CC"/>
    <w:rsid w:val="00A6495A"/>
    <w:rsid w:val="00A716DC"/>
    <w:rsid w:val="00A77581"/>
    <w:rsid w:val="00A77D59"/>
    <w:rsid w:val="00AA4788"/>
    <w:rsid w:val="00AD030A"/>
    <w:rsid w:val="00AE0852"/>
    <w:rsid w:val="00B02008"/>
    <w:rsid w:val="00B40EDF"/>
    <w:rsid w:val="00B63BBF"/>
    <w:rsid w:val="00B7441D"/>
    <w:rsid w:val="00BA1E2F"/>
    <w:rsid w:val="00BA4D47"/>
    <w:rsid w:val="00BD1AFF"/>
    <w:rsid w:val="00BE1CFC"/>
    <w:rsid w:val="00C1352B"/>
    <w:rsid w:val="00C47595"/>
    <w:rsid w:val="00C635A2"/>
    <w:rsid w:val="00C71BCE"/>
    <w:rsid w:val="00C90397"/>
    <w:rsid w:val="00C94BA6"/>
    <w:rsid w:val="00CB3CD8"/>
    <w:rsid w:val="00CC2E5E"/>
    <w:rsid w:val="00CC55F3"/>
    <w:rsid w:val="00CE3FA2"/>
    <w:rsid w:val="00CF1EA2"/>
    <w:rsid w:val="00CF573C"/>
    <w:rsid w:val="00D1596C"/>
    <w:rsid w:val="00D20519"/>
    <w:rsid w:val="00D2628A"/>
    <w:rsid w:val="00D32317"/>
    <w:rsid w:val="00D42909"/>
    <w:rsid w:val="00D458E6"/>
    <w:rsid w:val="00D6431A"/>
    <w:rsid w:val="00D92E8E"/>
    <w:rsid w:val="00D92FA5"/>
    <w:rsid w:val="00DA22BD"/>
    <w:rsid w:val="00DA5335"/>
    <w:rsid w:val="00DD154E"/>
    <w:rsid w:val="00DE37FD"/>
    <w:rsid w:val="00DE55F7"/>
    <w:rsid w:val="00DF1FD9"/>
    <w:rsid w:val="00E14EC1"/>
    <w:rsid w:val="00E24013"/>
    <w:rsid w:val="00E26020"/>
    <w:rsid w:val="00E4194F"/>
    <w:rsid w:val="00E466F1"/>
    <w:rsid w:val="00E53B79"/>
    <w:rsid w:val="00E9239C"/>
    <w:rsid w:val="00EB2297"/>
    <w:rsid w:val="00EB5977"/>
    <w:rsid w:val="00EB5DE0"/>
    <w:rsid w:val="00EB61B4"/>
    <w:rsid w:val="00EB708C"/>
    <w:rsid w:val="00EC13C5"/>
    <w:rsid w:val="00EC2821"/>
    <w:rsid w:val="00EC48B2"/>
    <w:rsid w:val="00ED0E32"/>
    <w:rsid w:val="00EF6F0C"/>
    <w:rsid w:val="00F10FB7"/>
    <w:rsid w:val="00F1497F"/>
    <w:rsid w:val="00F43294"/>
    <w:rsid w:val="00F511F1"/>
    <w:rsid w:val="00F84660"/>
    <w:rsid w:val="00F8576B"/>
    <w:rsid w:val="00F94CDD"/>
    <w:rsid w:val="00FA2C5C"/>
    <w:rsid w:val="00FB0954"/>
    <w:rsid w:val="00FB3E4A"/>
    <w:rsid w:val="00FC060B"/>
    <w:rsid w:val="00FC4613"/>
    <w:rsid w:val="00FD5C78"/>
    <w:rsid w:val="00FD755C"/>
    <w:rsid w:val="00FE0E1E"/>
    <w:rsid w:val="00FE16A1"/>
    <w:rsid w:val="00FF0759"/>
  </w:rsids>
  <m:mathPr>
    <m:mathFont m:val="Cambria Math"/>
    <m:brkBin m:val="before"/>
    <m:brkBinSub m:val="--"/>
    <m:smallFrac m:val="0"/>
    <m:dispDef/>
    <m:lMargin m:val="0"/>
    <m:rMargin m:val="0"/>
    <m:defJc m:val="centerGroup"/>
    <m:wrapIndent m:val="1440"/>
    <m:intLim m:val="subSup"/>
    <m:naryLim m:val="undOvr"/>
  </m:mathPr>
  <w:themeFontLang w:val="en-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5F51A"/>
  <w15:docId w15:val="{57000F1D-20D0-F749-A014-49BE0B948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02F"/>
    <w:rPr>
      <w:rFonts w:ascii="Times New Roman" w:eastAsia="Times New Roman" w:hAnsi="Times New Roman" w:cs="Times New Roman"/>
    </w:rPr>
  </w:style>
  <w:style w:type="paragraph" w:styleId="Heading3">
    <w:name w:val="heading 3"/>
    <w:basedOn w:val="Normal"/>
    <w:next w:val="Normal"/>
    <w:link w:val="Heading3Char"/>
    <w:uiPriority w:val="9"/>
    <w:semiHidden/>
    <w:unhideWhenUsed/>
    <w:qFormat/>
    <w:rsid w:val="00717BC4"/>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qFormat/>
    <w:rsid w:val="00303D76"/>
    <w:pPr>
      <w:keepNext/>
      <w:numPr>
        <w:ilvl w:val="3"/>
        <w:numId w:val="5"/>
      </w:numPr>
      <w:spacing w:before="240" w:after="60" w:line="259" w:lineRule="auto"/>
      <w:outlineLvl w:val="3"/>
    </w:pPr>
    <w:rPr>
      <w:rFonts w:ascii="Calibri" w:hAnsi="Calibri"/>
      <w:b/>
      <w:bCs/>
      <w:sz w:val="28"/>
      <w:szCs w:val="28"/>
      <w:lang w:val="id-ID"/>
    </w:rPr>
  </w:style>
  <w:style w:type="paragraph" w:styleId="Heading5">
    <w:name w:val="heading 5"/>
    <w:basedOn w:val="Normal"/>
    <w:next w:val="Normal"/>
    <w:link w:val="Heading5Char"/>
    <w:uiPriority w:val="9"/>
    <w:qFormat/>
    <w:rsid w:val="00303D76"/>
    <w:pPr>
      <w:numPr>
        <w:ilvl w:val="4"/>
        <w:numId w:val="5"/>
      </w:numPr>
      <w:spacing w:before="240" w:after="60" w:line="259" w:lineRule="auto"/>
      <w:outlineLvl w:val="4"/>
    </w:pPr>
    <w:rPr>
      <w:rFonts w:ascii="Calibri" w:hAnsi="Calibri"/>
      <w:b/>
      <w:bCs/>
      <w:i/>
      <w:iCs/>
      <w:sz w:val="26"/>
      <w:szCs w:val="26"/>
      <w:lang w:val="id-ID"/>
    </w:rPr>
  </w:style>
  <w:style w:type="paragraph" w:styleId="Heading6">
    <w:name w:val="heading 6"/>
    <w:basedOn w:val="Normal"/>
    <w:next w:val="Normal"/>
    <w:link w:val="Heading6Char"/>
    <w:uiPriority w:val="9"/>
    <w:qFormat/>
    <w:rsid w:val="00303D76"/>
    <w:pPr>
      <w:numPr>
        <w:ilvl w:val="5"/>
        <w:numId w:val="5"/>
      </w:numPr>
      <w:spacing w:before="240" w:after="60" w:line="259" w:lineRule="auto"/>
      <w:outlineLvl w:val="5"/>
    </w:pPr>
    <w:rPr>
      <w:rFonts w:ascii="Calibri" w:hAnsi="Calibri"/>
      <w:b/>
      <w:bCs/>
      <w:sz w:val="22"/>
      <w:szCs w:val="22"/>
      <w:lang w:val="id-ID"/>
    </w:rPr>
  </w:style>
  <w:style w:type="paragraph" w:styleId="Heading7">
    <w:name w:val="heading 7"/>
    <w:basedOn w:val="Normal"/>
    <w:next w:val="Normal"/>
    <w:link w:val="Heading7Char"/>
    <w:uiPriority w:val="9"/>
    <w:qFormat/>
    <w:rsid w:val="00303D76"/>
    <w:pPr>
      <w:numPr>
        <w:ilvl w:val="6"/>
        <w:numId w:val="5"/>
      </w:numPr>
      <w:spacing w:before="240" w:after="60" w:line="259" w:lineRule="auto"/>
      <w:outlineLvl w:val="6"/>
    </w:pPr>
    <w:rPr>
      <w:rFonts w:ascii="Calibri" w:hAnsi="Calibri"/>
      <w:lang w:val="id-ID"/>
    </w:rPr>
  </w:style>
  <w:style w:type="paragraph" w:styleId="Heading8">
    <w:name w:val="heading 8"/>
    <w:basedOn w:val="Normal"/>
    <w:next w:val="Normal"/>
    <w:link w:val="Heading8Char"/>
    <w:uiPriority w:val="9"/>
    <w:qFormat/>
    <w:rsid w:val="00303D76"/>
    <w:pPr>
      <w:numPr>
        <w:ilvl w:val="7"/>
        <w:numId w:val="5"/>
      </w:numPr>
      <w:spacing w:before="240" w:after="60" w:line="259" w:lineRule="auto"/>
      <w:outlineLvl w:val="7"/>
    </w:pPr>
    <w:rPr>
      <w:rFonts w:ascii="Calibri" w:hAnsi="Calibri"/>
      <w:i/>
      <w:iCs/>
      <w:lang w:val="id-ID"/>
    </w:rPr>
  </w:style>
  <w:style w:type="paragraph" w:styleId="Heading9">
    <w:name w:val="heading 9"/>
    <w:basedOn w:val="Normal"/>
    <w:next w:val="Normal"/>
    <w:link w:val="Heading9Char"/>
    <w:uiPriority w:val="9"/>
    <w:qFormat/>
    <w:rsid w:val="00303D76"/>
    <w:pPr>
      <w:numPr>
        <w:ilvl w:val="8"/>
        <w:numId w:val="5"/>
      </w:numPr>
      <w:spacing w:before="240" w:after="60" w:line="259" w:lineRule="auto"/>
      <w:outlineLvl w:val="8"/>
    </w:pPr>
    <w:rPr>
      <w:rFonts w:ascii="Calibri Light" w:hAnsi="Calibri Light"/>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A479CC"/>
    <w:rPr>
      <w:color w:val="0563C1" w:themeColor="hyperlink"/>
      <w:u w:val="single"/>
    </w:rPr>
  </w:style>
  <w:style w:type="character" w:customStyle="1" w:styleId="UnresolvedMention1">
    <w:name w:val="Unresolved Mention1"/>
    <w:basedOn w:val="DefaultParagraphFont"/>
    <w:uiPriority w:val="99"/>
    <w:semiHidden/>
    <w:unhideWhenUsed/>
    <w:rsid w:val="00A479CC"/>
    <w:rPr>
      <w:color w:val="605E5C"/>
      <w:shd w:val="clear" w:color="auto" w:fill="E1DFDD"/>
    </w:rPr>
  </w:style>
  <w:style w:type="paragraph" w:customStyle="1" w:styleId="Default">
    <w:name w:val="Default"/>
    <w:rsid w:val="00A479CC"/>
    <w:pPr>
      <w:autoSpaceDE w:val="0"/>
      <w:autoSpaceDN w:val="0"/>
      <w:adjustRightInd w:val="0"/>
    </w:pPr>
    <w:rPr>
      <w:rFonts w:ascii="BIPPN M+ Gulliver" w:eastAsia="SimSun" w:hAnsi="BIPPN M+ Gulliver" w:cs="BIPPN M+ Gulliver"/>
      <w:color w:val="000000"/>
      <w:lang w:val="en-US" w:eastAsia="en-IN"/>
    </w:rPr>
  </w:style>
  <w:style w:type="table" w:styleId="TableGrid">
    <w:name w:val="Table Grid"/>
    <w:basedOn w:val="TableNormal"/>
    <w:uiPriority w:val="59"/>
    <w:rsid w:val="00A479CC"/>
    <w:rPr>
      <w:rFonts w:ascii="Calibri" w:eastAsia="Calibri" w:hAnsi="Calibri" w:cs="Arial"/>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Artikel">
    <w:name w:val="Info Artikel"/>
    <w:basedOn w:val="Normal"/>
    <w:link w:val="InfoArtikelChar"/>
    <w:qFormat/>
    <w:rsid w:val="00A479CC"/>
    <w:rPr>
      <w:rFonts w:ascii="Palatino Linotype" w:eastAsia="Calibri" w:hAnsi="Palatino Linotype" w:cs="Calibri"/>
      <w:b/>
      <w:sz w:val="18"/>
      <w:szCs w:val="18"/>
    </w:rPr>
  </w:style>
  <w:style w:type="paragraph" w:customStyle="1" w:styleId="Sejarahartikel">
    <w:name w:val="Sejarah artikel"/>
    <w:basedOn w:val="Normal"/>
    <w:link w:val="SejarahartikelChar"/>
    <w:qFormat/>
    <w:rsid w:val="00A479CC"/>
    <w:rPr>
      <w:rFonts w:ascii="Book Antiqua" w:eastAsia="Calibri" w:hAnsi="Book Antiqua" w:cs="Arial"/>
      <w:b/>
      <w:i/>
      <w:sz w:val="15"/>
      <w:szCs w:val="15"/>
    </w:rPr>
  </w:style>
  <w:style w:type="character" w:customStyle="1" w:styleId="InfoArtikelChar">
    <w:name w:val="Info Artikel Char"/>
    <w:link w:val="InfoArtikel"/>
    <w:rsid w:val="00A479CC"/>
    <w:rPr>
      <w:rFonts w:ascii="Palatino Linotype" w:eastAsia="Calibri" w:hAnsi="Palatino Linotype" w:cs="Calibri"/>
      <w:b/>
      <w:sz w:val="18"/>
      <w:szCs w:val="18"/>
    </w:rPr>
  </w:style>
  <w:style w:type="paragraph" w:customStyle="1" w:styleId="Isisejarahartikel">
    <w:name w:val="Isi sejarah artikel"/>
    <w:basedOn w:val="Normal"/>
    <w:link w:val="IsisejarahartikelChar"/>
    <w:qFormat/>
    <w:rsid w:val="00A479CC"/>
    <w:rPr>
      <w:rFonts w:ascii="Palatino Linotype" w:eastAsia="Calibri" w:hAnsi="Palatino Linotype" w:cs="Arial"/>
      <w:sz w:val="15"/>
      <w:szCs w:val="15"/>
    </w:rPr>
  </w:style>
  <w:style w:type="character" w:customStyle="1" w:styleId="SejarahartikelChar">
    <w:name w:val="Sejarah artikel Char"/>
    <w:link w:val="Sejarahartikel"/>
    <w:rsid w:val="00A479CC"/>
    <w:rPr>
      <w:rFonts w:ascii="Book Antiqua" w:eastAsia="Calibri" w:hAnsi="Book Antiqua" w:cs="Arial"/>
      <w:b/>
      <w:i/>
      <w:sz w:val="15"/>
      <w:szCs w:val="15"/>
    </w:rPr>
  </w:style>
  <w:style w:type="paragraph" w:customStyle="1" w:styleId="Katakunci">
    <w:name w:val="Kata kunci"/>
    <w:basedOn w:val="Normal"/>
    <w:link w:val="KatakunciChar"/>
    <w:qFormat/>
    <w:rsid w:val="00A479CC"/>
    <w:rPr>
      <w:rFonts w:ascii="Book Antiqua" w:eastAsia="Calibri" w:hAnsi="Book Antiqua" w:cs="Arial"/>
      <w:b/>
      <w:i/>
      <w:sz w:val="15"/>
      <w:szCs w:val="15"/>
    </w:rPr>
  </w:style>
  <w:style w:type="character" w:customStyle="1" w:styleId="IsisejarahartikelChar">
    <w:name w:val="Isi sejarah artikel Char"/>
    <w:link w:val="Isisejarahartikel"/>
    <w:rsid w:val="00A479CC"/>
    <w:rPr>
      <w:rFonts w:ascii="Palatino Linotype" w:eastAsia="Calibri" w:hAnsi="Palatino Linotype" w:cs="Arial"/>
      <w:sz w:val="15"/>
      <w:szCs w:val="15"/>
    </w:rPr>
  </w:style>
  <w:style w:type="character" w:customStyle="1" w:styleId="KatakunciChar">
    <w:name w:val="Kata kunci Char"/>
    <w:link w:val="Katakunci"/>
    <w:rsid w:val="00A479CC"/>
    <w:rPr>
      <w:rFonts w:ascii="Book Antiqua" w:eastAsia="Calibri" w:hAnsi="Book Antiqua" w:cs="Arial"/>
      <w:b/>
      <w:i/>
      <w:sz w:val="15"/>
      <w:szCs w:val="15"/>
    </w:rPr>
  </w:style>
  <w:style w:type="paragraph" w:customStyle="1" w:styleId="Isikeywords">
    <w:name w:val="Isi keywords"/>
    <w:basedOn w:val="Normal"/>
    <w:link w:val="IsikeywordsChar"/>
    <w:qFormat/>
    <w:rsid w:val="00A479CC"/>
    <w:rPr>
      <w:rFonts w:ascii="Palatino Linotype" w:eastAsia="Calibri" w:hAnsi="Palatino Linotype" w:cs="Arial"/>
      <w:i/>
      <w:sz w:val="15"/>
      <w:szCs w:val="15"/>
      <w:lang w:val="id-ID"/>
    </w:rPr>
  </w:style>
  <w:style w:type="paragraph" w:customStyle="1" w:styleId="Abstrak">
    <w:name w:val="Abstrak"/>
    <w:basedOn w:val="Title"/>
    <w:link w:val="AbstrakChar"/>
    <w:qFormat/>
    <w:rsid w:val="00A479CC"/>
    <w:pPr>
      <w:contextualSpacing w:val="0"/>
      <w:jc w:val="center"/>
      <w:outlineLvl w:val="0"/>
    </w:pPr>
    <w:rPr>
      <w:rFonts w:ascii="Book Antiqua" w:eastAsia="Times New Roman" w:hAnsi="Book Antiqua" w:cs="Times New Roman"/>
      <w:b/>
      <w:bCs/>
      <w:iCs/>
      <w:color w:val="000000"/>
      <w:spacing w:val="0"/>
      <w:sz w:val="20"/>
      <w:szCs w:val="15"/>
      <w:lang w:val="en-US"/>
    </w:rPr>
  </w:style>
  <w:style w:type="character" w:customStyle="1" w:styleId="IsikeywordsChar">
    <w:name w:val="Isi keywords Char"/>
    <w:link w:val="Isikeywords"/>
    <w:rsid w:val="00A479CC"/>
    <w:rPr>
      <w:rFonts w:ascii="Palatino Linotype" w:eastAsia="Calibri" w:hAnsi="Palatino Linotype" w:cs="Arial"/>
      <w:i/>
      <w:sz w:val="15"/>
      <w:szCs w:val="15"/>
      <w:lang w:val="id-ID"/>
    </w:rPr>
  </w:style>
  <w:style w:type="paragraph" w:customStyle="1" w:styleId="Isiabstrak">
    <w:name w:val="Isi abstrak"/>
    <w:basedOn w:val="Normal"/>
    <w:link w:val="IsiabstrakChar"/>
    <w:qFormat/>
    <w:rsid w:val="00A479CC"/>
    <w:pPr>
      <w:jc w:val="both"/>
    </w:pPr>
    <w:rPr>
      <w:rFonts w:ascii="Palatino Linotype" w:eastAsia="Calibri" w:hAnsi="Palatino Linotype" w:cs="Arial"/>
      <w:iCs/>
      <w:sz w:val="18"/>
      <w:szCs w:val="15"/>
      <w:lang w:val="en-US"/>
    </w:rPr>
  </w:style>
  <w:style w:type="character" w:customStyle="1" w:styleId="AbstrakChar">
    <w:name w:val="Abstrak Char"/>
    <w:link w:val="Abstrak"/>
    <w:rsid w:val="00A479CC"/>
    <w:rPr>
      <w:rFonts w:ascii="Book Antiqua" w:eastAsia="Times New Roman" w:hAnsi="Book Antiqua" w:cs="Times New Roman"/>
      <w:b/>
      <w:bCs/>
      <w:iCs/>
      <w:color w:val="000000"/>
      <w:kern w:val="28"/>
      <w:sz w:val="20"/>
      <w:szCs w:val="15"/>
      <w:lang w:val="en-US"/>
    </w:rPr>
  </w:style>
  <w:style w:type="character" w:customStyle="1" w:styleId="IsiabstrakChar">
    <w:name w:val="Isi abstrak Char"/>
    <w:link w:val="Isiabstrak"/>
    <w:rsid w:val="00A479CC"/>
    <w:rPr>
      <w:rFonts w:ascii="Palatino Linotype" w:eastAsia="Calibri" w:hAnsi="Palatino Linotype" w:cs="Arial"/>
      <w:iCs/>
      <w:sz w:val="18"/>
      <w:szCs w:val="15"/>
      <w:lang w:val="en-US"/>
    </w:rPr>
  </w:style>
  <w:style w:type="paragraph" w:customStyle="1" w:styleId="Isiabstract">
    <w:name w:val="Isi abstract"/>
    <w:basedOn w:val="Normal"/>
    <w:link w:val="IsiabstractChar"/>
    <w:qFormat/>
    <w:rsid w:val="00A479CC"/>
    <w:pPr>
      <w:jc w:val="both"/>
    </w:pPr>
    <w:rPr>
      <w:rFonts w:ascii="Palatino Linotype" w:eastAsia="Calibri" w:hAnsi="Palatino Linotype" w:cs="Arial"/>
      <w:i/>
      <w:sz w:val="18"/>
      <w:szCs w:val="15"/>
      <w:lang w:val="sv-SE"/>
    </w:rPr>
  </w:style>
  <w:style w:type="paragraph" w:customStyle="1" w:styleId="Hakcipta">
    <w:name w:val="Hak cipta"/>
    <w:basedOn w:val="Isiabstract"/>
    <w:link w:val="HakciptaChar"/>
    <w:qFormat/>
    <w:rsid w:val="00A479CC"/>
    <w:pPr>
      <w:jc w:val="right"/>
    </w:pPr>
    <w:rPr>
      <w:rFonts w:ascii="Arial Nova Light" w:hAnsi="Arial Nova Light"/>
      <w:i w:val="0"/>
      <w:sz w:val="14"/>
      <w:lang w:val="en-ID"/>
    </w:rPr>
  </w:style>
  <w:style w:type="character" w:customStyle="1" w:styleId="IsiabstractChar">
    <w:name w:val="Isi abstract Char"/>
    <w:link w:val="Isiabstract"/>
    <w:rsid w:val="00A479CC"/>
    <w:rPr>
      <w:rFonts w:ascii="Palatino Linotype" w:eastAsia="Calibri" w:hAnsi="Palatino Linotype" w:cs="Arial"/>
      <w:i/>
      <w:sz w:val="18"/>
      <w:szCs w:val="15"/>
      <w:lang w:val="sv-SE"/>
    </w:rPr>
  </w:style>
  <w:style w:type="character" w:customStyle="1" w:styleId="HakciptaChar">
    <w:name w:val="Hak cipta Char"/>
    <w:link w:val="Hakcipta"/>
    <w:rsid w:val="00A479CC"/>
    <w:rPr>
      <w:rFonts w:ascii="Arial Nova Light" w:eastAsia="Calibri" w:hAnsi="Arial Nova Light" w:cs="Arial"/>
      <w:sz w:val="14"/>
      <w:szCs w:val="15"/>
    </w:rPr>
  </w:style>
  <w:style w:type="paragraph" w:customStyle="1" w:styleId="Isisitasi">
    <w:name w:val="Isi sitasi"/>
    <w:basedOn w:val="Isikeywords"/>
    <w:link w:val="IsisitasiChar"/>
    <w:qFormat/>
    <w:rsid w:val="00A479CC"/>
    <w:rPr>
      <w:i w:val="0"/>
    </w:rPr>
  </w:style>
  <w:style w:type="character" w:customStyle="1" w:styleId="IsisitasiChar">
    <w:name w:val="Isi sitasi Char"/>
    <w:link w:val="Isisitasi"/>
    <w:rsid w:val="00A479CC"/>
    <w:rPr>
      <w:rFonts w:ascii="Palatino Linotype" w:eastAsia="Calibri" w:hAnsi="Palatino Linotype" w:cs="Arial"/>
      <w:sz w:val="15"/>
      <w:szCs w:val="15"/>
      <w:lang w:val="id-ID"/>
    </w:rPr>
  </w:style>
  <w:style w:type="paragraph" w:styleId="Title">
    <w:name w:val="Title"/>
    <w:basedOn w:val="Normal"/>
    <w:next w:val="Normal"/>
    <w:link w:val="TitleChar"/>
    <w:uiPriority w:val="10"/>
    <w:qFormat/>
    <w:rsid w:val="00A479C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9CC"/>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A479CC"/>
    <w:rPr>
      <w:color w:val="954F72" w:themeColor="followedHyperlink"/>
      <w:u w:val="single"/>
    </w:rPr>
  </w:style>
  <w:style w:type="paragraph" w:styleId="Header">
    <w:name w:val="header"/>
    <w:aliases w:val="page-number"/>
    <w:basedOn w:val="Normal"/>
    <w:link w:val="HeaderChar"/>
    <w:uiPriority w:val="99"/>
    <w:unhideWhenUsed/>
    <w:rsid w:val="00A479CC"/>
    <w:pPr>
      <w:tabs>
        <w:tab w:val="center" w:pos="4680"/>
        <w:tab w:val="right" w:pos="9360"/>
      </w:tabs>
    </w:pPr>
    <w:rPr>
      <w:rFonts w:asciiTheme="minorHAnsi" w:eastAsiaTheme="minorHAnsi" w:hAnsiTheme="minorHAnsi" w:cstheme="minorBidi"/>
    </w:rPr>
  </w:style>
  <w:style w:type="character" w:customStyle="1" w:styleId="HeaderChar">
    <w:name w:val="Header Char"/>
    <w:aliases w:val="page-number Char"/>
    <w:basedOn w:val="DefaultParagraphFont"/>
    <w:link w:val="Header"/>
    <w:uiPriority w:val="99"/>
    <w:rsid w:val="00A479CC"/>
  </w:style>
  <w:style w:type="paragraph" w:styleId="Footer">
    <w:name w:val="footer"/>
    <w:basedOn w:val="Normal"/>
    <w:link w:val="FooterChar"/>
    <w:uiPriority w:val="99"/>
    <w:unhideWhenUsed/>
    <w:rsid w:val="00A479CC"/>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A479CC"/>
  </w:style>
  <w:style w:type="paragraph" w:customStyle="1" w:styleId="Els-1storder-head">
    <w:name w:val="Els-1storder-head"/>
    <w:next w:val="Els-body-text"/>
    <w:rsid w:val="00A479CC"/>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Els-body-text"/>
    <w:rsid w:val="00A479CC"/>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Els-body-text"/>
    <w:rsid w:val="00A479CC"/>
    <w:pPr>
      <w:keepNext/>
      <w:numPr>
        <w:ilvl w:val="2"/>
        <w:numId w:val="1"/>
      </w:numPr>
      <w:suppressAutoHyphens/>
      <w:spacing w:before="240" w:line="240" w:lineRule="exact"/>
    </w:pPr>
    <w:rPr>
      <w:rFonts w:ascii="Times New Roman" w:eastAsia="SimSun" w:hAnsi="Times New Roman" w:cs="Times New Roman"/>
      <w:i/>
      <w:sz w:val="20"/>
      <w:szCs w:val="20"/>
      <w:lang w:val="en-US"/>
    </w:rPr>
  </w:style>
  <w:style w:type="paragraph" w:customStyle="1" w:styleId="Els-4thorder-head">
    <w:name w:val="Els-4thorder-head"/>
    <w:next w:val="Els-body-text"/>
    <w:rsid w:val="00A479CC"/>
    <w:pPr>
      <w:keepNext/>
      <w:numPr>
        <w:ilvl w:val="3"/>
        <w:numId w:val="1"/>
      </w:numPr>
      <w:suppressAutoHyphens/>
      <w:spacing w:before="240" w:line="240" w:lineRule="exact"/>
    </w:pPr>
    <w:rPr>
      <w:rFonts w:ascii="Times New Roman" w:eastAsia="SimSun" w:hAnsi="Times New Roman" w:cs="Times New Roman"/>
      <w:i/>
      <w:sz w:val="20"/>
      <w:szCs w:val="20"/>
      <w:lang w:val="en-US"/>
    </w:rPr>
  </w:style>
  <w:style w:type="paragraph" w:customStyle="1" w:styleId="Els-body-text">
    <w:name w:val="Els-body-text"/>
    <w:rsid w:val="00A479CC"/>
    <w:pPr>
      <w:spacing w:line="240" w:lineRule="exact"/>
      <w:ind w:firstLine="238"/>
      <w:jc w:val="both"/>
    </w:pPr>
    <w:rPr>
      <w:rFonts w:ascii="Times New Roman" w:eastAsia="SimSun" w:hAnsi="Times New Roman" w:cs="Times New Roman"/>
      <w:sz w:val="20"/>
      <w:szCs w:val="20"/>
      <w:lang w:val="en-US"/>
    </w:rPr>
  </w:style>
  <w:style w:type="paragraph" w:customStyle="1" w:styleId="Els-caption">
    <w:name w:val="Els-caption"/>
    <w:rsid w:val="00A479CC"/>
    <w:pPr>
      <w:keepLines/>
      <w:spacing w:before="200" w:after="240" w:line="200" w:lineRule="exact"/>
    </w:pPr>
    <w:rPr>
      <w:rFonts w:ascii="Times New Roman" w:eastAsia="SimSun" w:hAnsi="Times New Roman" w:cs="Times New Roman"/>
      <w:sz w:val="16"/>
      <w:szCs w:val="20"/>
      <w:lang w:val="en-US"/>
    </w:rPr>
  </w:style>
  <w:style w:type="paragraph" w:customStyle="1" w:styleId="Els-table-text">
    <w:name w:val="Els-table-text"/>
    <w:rsid w:val="00A479CC"/>
    <w:pPr>
      <w:spacing w:after="80" w:line="200" w:lineRule="exact"/>
    </w:pPr>
    <w:rPr>
      <w:rFonts w:ascii="Times New Roman" w:eastAsia="SimSun" w:hAnsi="Times New Roman" w:cs="Times New Roman"/>
      <w:sz w:val="16"/>
      <w:szCs w:val="20"/>
      <w:lang w:val="en-US"/>
    </w:rPr>
  </w:style>
  <w:style w:type="paragraph" w:customStyle="1" w:styleId="Els-appendixhead">
    <w:name w:val="Els-appendixhead"/>
    <w:next w:val="Normal"/>
    <w:rsid w:val="00F1497F"/>
    <w:pPr>
      <w:numPr>
        <w:numId w:val="2"/>
      </w:numPr>
      <w:spacing w:before="480" w:after="240" w:line="220" w:lineRule="exact"/>
    </w:pPr>
    <w:rPr>
      <w:rFonts w:ascii="Times New Roman" w:eastAsia="SimSun" w:hAnsi="Times New Roman" w:cs="Times New Roman"/>
      <w:b/>
      <w:sz w:val="20"/>
      <w:szCs w:val="20"/>
      <w:lang w:val="en-US"/>
    </w:rPr>
  </w:style>
  <w:style w:type="paragraph" w:customStyle="1" w:styleId="Els-appendixsubhead">
    <w:name w:val="Els-appendixsubhead"/>
    <w:next w:val="Normal"/>
    <w:rsid w:val="00F1497F"/>
    <w:pPr>
      <w:numPr>
        <w:ilvl w:val="1"/>
        <w:numId w:val="3"/>
      </w:numPr>
      <w:spacing w:before="240" w:after="240" w:line="220" w:lineRule="exact"/>
    </w:pPr>
    <w:rPr>
      <w:rFonts w:ascii="Times New Roman" w:eastAsia="SimSun" w:hAnsi="Times New Roman" w:cs="Times New Roman"/>
      <w:i/>
      <w:sz w:val="20"/>
      <w:szCs w:val="20"/>
      <w:lang w:val="en-US"/>
    </w:rPr>
  </w:style>
  <w:style w:type="paragraph" w:customStyle="1" w:styleId="Els-reference-head">
    <w:name w:val="Els-reference-head"/>
    <w:next w:val="Normal"/>
    <w:rsid w:val="00F1497F"/>
    <w:pPr>
      <w:keepNext/>
      <w:spacing w:before="480" w:after="200" w:line="220" w:lineRule="exact"/>
    </w:pPr>
    <w:rPr>
      <w:rFonts w:ascii="Times New Roman" w:eastAsia="SimSun" w:hAnsi="Times New Roman" w:cs="Times New Roman"/>
      <w:b/>
      <w:sz w:val="20"/>
      <w:szCs w:val="20"/>
      <w:lang w:val="en-US"/>
    </w:rPr>
  </w:style>
  <w:style w:type="paragraph" w:styleId="BodyTextIndent2">
    <w:name w:val="Body Text Indent 2"/>
    <w:basedOn w:val="Normal"/>
    <w:link w:val="BodyTextIndent2Char"/>
    <w:semiHidden/>
    <w:rsid w:val="00F1497F"/>
    <w:pPr>
      <w:widowControl w:val="0"/>
      <w:ind w:firstLine="240"/>
    </w:pPr>
    <w:rPr>
      <w:rFonts w:eastAsia="SimSun"/>
      <w:sz w:val="20"/>
      <w:szCs w:val="20"/>
      <w:lang w:val="en-GB"/>
    </w:rPr>
  </w:style>
  <w:style w:type="character" w:customStyle="1" w:styleId="BodyTextIndent2Char">
    <w:name w:val="Body Text Indent 2 Char"/>
    <w:basedOn w:val="DefaultParagraphFont"/>
    <w:link w:val="BodyTextIndent2"/>
    <w:semiHidden/>
    <w:rsid w:val="00F1497F"/>
    <w:rPr>
      <w:rFonts w:ascii="Times New Roman" w:eastAsia="SimSun" w:hAnsi="Times New Roman" w:cs="Times New Roman"/>
      <w:sz w:val="20"/>
      <w:szCs w:val="20"/>
      <w:lang w:val="en-GB"/>
    </w:rPr>
  </w:style>
  <w:style w:type="character" w:styleId="PageNumber">
    <w:name w:val="page number"/>
    <w:basedOn w:val="DefaultParagraphFont"/>
    <w:uiPriority w:val="99"/>
    <w:semiHidden/>
    <w:unhideWhenUsed/>
    <w:rsid w:val="007B4D60"/>
  </w:style>
  <w:style w:type="paragraph" w:customStyle="1" w:styleId="TableParagraph">
    <w:name w:val="Table Paragraph"/>
    <w:basedOn w:val="Normal"/>
    <w:uiPriority w:val="1"/>
    <w:qFormat/>
    <w:rsid w:val="009B05FE"/>
    <w:pPr>
      <w:widowControl w:val="0"/>
      <w:autoSpaceDE w:val="0"/>
      <w:autoSpaceDN w:val="0"/>
      <w:spacing w:before="139"/>
      <w:ind w:left="180"/>
    </w:pPr>
    <w:rPr>
      <w:sz w:val="22"/>
      <w:szCs w:val="22"/>
      <w:lang w:val="en-US"/>
    </w:rPr>
  </w:style>
  <w:style w:type="paragraph" w:styleId="ListParagraph">
    <w:name w:val="List Paragraph"/>
    <w:basedOn w:val="Normal"/>
    <w:uiPriority w:val="34"/>
    <w:qFormat/>
    <w:rsid w:val="006350B9"/>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01419A"/>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01419A"/>
    <w:rPr>
      <w:rFonts w:ascii="Tahoma" w:hAnsi="Tahoma" w:cs="Tahoma"/>
      <w:sz w:val="16"/>
      <w:szCs w:val="16"/>
    </w:rPr>
  </w:style>
  <w:style w:type="character" w:styleId="BookTitle">
    <w:name w:val="Book Title"/>
    <w:uiPriority w:val="33"/>
    <w:qFormat/>
    <w:rsid w:val="009B7F32"/>
    <w:rPr>
      <w:b/>
      <w:bCs/>
      <w:i/>
      <w:iCs/>
      <w:spacing w:val="5"/>
    </w:rPr>
  </w:style>
  <w:style w:type="character" w:styleId="UnresolvedMention">
    <w:name w:val="Unresolved Mention"/>
    <w:basedOn w:val="DefaultParagraphFont"/>
    <w:uiPriority w:val="99"/>
    <w:semiHidden/>
    <w:unhideWhenUsed/>
    <w:rsid w:val="009B7F32"/>
    <w:rPr>
      <w:color w:val="605E5C"/>
      <w:shd w:val="clear" w:color="auto" w:fill="E1DFDD"/>
    </w:rPr>
  </w:style>
  <w:style w:type="character" w:customStyle="1" w:styleId="Heading4Char">
    <w:name w:val="Heading 4 Char"/>
    <w:basedOn w:val="DefaultParagraphFont"/>
    <w:link w:val="Heading4"/>
    <w:uiPriority w:val="9"/>
    <w:rsid w:val="00303D76"/>
    <w:rPr>
      <w:rFonts w:ascii="Calibri" w:eastAsia="Times New Roman" w:hAnsi="Calibri" w:cs="Times New Roman"/>
      <w:b/>
      <w:bCs/>
      <w:sz w:val="28"/>
      <w:szCs w:val="28"/>
      <w:lang w:val="id-ID"/>
    </w:rPr>
  </w:style>
  <w:style w:type="character" w:customStyle="1" w:styleId="Heading5Char">
    <w:name w:val="Heading 5 Char"/>
    <w:basedOn w:val="DefaultParagraphFont"/>
    <w:link w:val="Heading5"/>
    <w:uiPriority w:val="9"/>
    <w:rsid w:val="00303D76"/>
    <w:rPr>
      <w:rFonts w:ascii="Calibri" w:eastAsia="Times New Roman" w:hAnsi="Calibri" w:cs="Times New Roman"/>
      <w:b/>
      <w:bCs/>
      <w:i/>
      <w:iCs/>
      <w:sz w:val="26"/>
      <w:szCs w:val="26"/>
      <w:lang w:val="id-ID"/>
    </w:rPr>
  </w:style>
  <w:style w:type="character" w:customStyle="1" w:styleId="Heading6Char">
    <w:name w:val="Heading 6 Char"/>
    <w:basedOn w:val="DefaultParagraphFont"/>
    <w:link w:val="Heading6"/>
    <w:uiPriority w:val="9"/>
    <w:rsid w:val="00303D76"/>
    <w:rPr>
      <w:rFonts w:ascii="Calibri" w:eastAsia="Times New Roman" w:hAnsi="Calibri" w:cs="Times New Roman"/>
      <w:b/>
      <w:bCs/>
      <w:sz w:val="22"/>
      <w:szCs w:val="22"/>
      <w:lang w:val="id-ID"/>
    </w:rPr>
  </w:style>
  <w:style w:type="character" w:customStyle="1" w:styleId="Heading7Char">
    <w:name w:val="Heading 7 Char"/>
    <w:basedOn w:val="DefaultParagraphFont"/>
    <w:link w:val="Heading7"/>
    <w:uiPriority w:val="9"/>
    <w:rsid w:val="00303D76"/>
    <w:rPr>
      <w:rFonts w:ascii="Calibri" w:eastAsia="Times New Roman" w:hAnsi="Calibri" w:cs="Times New Roman"/>
      <w:lang w:val="id-ID"/>
    </w:rPr>
  </w:style>
  <w:style w:type="character" w:customStyle="1" w:styleId="Heading8Char">
    <w:name w:val="Heading 8 Char"/>
    <w:basedOn w:val="DefaultParagraphFont"/>
    <w:link w:val="Heading8"/>
    <w:uiPriority w:val="9"/>
    <w:rsid w:val="00303D76"/>
    <w:rPr>
      <w:rFonts w:ascii="Calibri" w:eastAsia="Times New Roman" w:hAnsi="Calibri" w:cs="Times New Roman"/>
      <w:i/>
      <w:iCs/>
      <w:lang w:val="id-ID"/>
    </w:rPr>
  </w:style>
  <w:style w:type="character" w:customStyle="1" w:styleId="Heading9Char">
    <w:name w:val="Heading 9 Char"/>
    <w:basedOn w:val="DefaultParagraphFont"/>
    <w:link w:val="Heading9"/>
    <w:uiPriority w:val="9"/>
    <w:rsid w:val="00303D76"/>
    <w:rPr>
      <w:rFonts w:ascii="Calibri Light" w:eastAsia="Times New Roman" w:hAnsi="Calibri Light" w:cs="Times New Roman"/>
      <w:sz w:val="22"/>
      <w:szCs w:val="22"/>
      <w:lang w:val="id-ID"/>
    </w:rPr>
  </w:style>
  <w:style w:type="paragraph" w:customStyle="1" w:styleId="TP-Section">
    <w:name w:val="TP-Section"/>
    <w:next w:val="Normal"/>
    <w:qFormat/>
    <w:rsid w:val="00303D76"/>
    <w:pPr>
      <w:keepNext/>
      <w:numPr>
        <w:numId w:val="5"/>
      </w:numPr>
      <w:suppressAutoHyphens/>
      <w:spacing w:before="480" w:after="230" w:line="230" w:lineRule="exact"/>
      <w:jc w:val="both"/>
    </w:pPr>
    <w:rPr>
      <w:rFonts w:ascii="Times New Roman" w:eastAsia="SimSun" w:hAnsi="Times New Roman" w:cs="Times New Roman"/>
      <w:b/>
      <w:sz w:val="22"/>
      <w:szCs w:val="20"/>
      <w:lang w:val="en-US"/>
    </w:rPr>
  </w:style>
  <w:style w:type="paragraph" w:customStyle="1" w:styleId="TP-Subsection">
    <w:name w:val="TP-Subsection"/>
    <w:next w:val="NormalWeb"/>
    <w:qFormat/>
    <w:rsid w:val="00303D76"/>
    <w:pPr>
      <w:keepNext/>
      <w:numPr>
        <w:ilvl w:val="1"/>
        <w:numId w:val="5"/>
      </w:numPr>
      <w:suppressAutoHyphens/>
      <w:spacing w:before="160" w:after="60" w:line="360" w:lineRule="auto"/>
      <w:jc w:val="both"/>
      <w:outlineLvl w:val="1"/>
    </w:pPr>
    <w:rPr>
      <w:rFonts w:ascii="Times New Roman" w:eastAsia="SimSun" w:hAnsi="Times New Roman" w:cs="Times New Roman"/>
      <w:b/>
      <w:sz w:val="22"/>
      <w:szCs w:val="20"/>
      <w:lang w:val="en-US"/>
    </w:rPr>
  </w:style>
  <w:style w:type="paragraph" w:customStyle="1" w:styleId="TP-Subsubsection">
    <w:name w:val="TP-Subsubsection"/>
    <w:next w:val="Normal"/>
    <w:rsid w:val="00303D76"/>
    <w:pPr>
      <w:keepNext/>
      <w:numPr>
        <w:ilvl w:val="2"/>
        <w:numId w:val="5"/>
      </w:numPr>
      <w:suppressAutoHyphens/>
      <w:spacing w:before="240" w:after="60" w:line="240" w:lineRule="exact"/>
    </w:pPr>
    <w:rPr>
      <w:rFonts w:ascii="Times New Roman" w:eastAsia="SimSun" w:hAnsi="Times New Roman" w:cs="Times New Roman"/>
      <w:i/>
      <w:sz w:val="22"/>
      <w:szCs w:val="20"/>
      <w:lang w:val="en-US"/>
    </w:rPr>
  </w:style>
  <w:style w:type="paragraph" w:styleId="NormalWeb">
    <w:name w:val="Normal (Web)"/>
    <w:basedOn w:val="Normal"/>
    <w:uiPriority w:val="99"/>
    <w:unhideWhenUsed/>
    <w:rsid w:val="00303D76"/>
    <w:rPr>
      <w:rFonts w:eastAsiaTheme="minorHAnsi"/>
    </w:rPr>
  </w:style>
  <w:style w:type="character" w:customStyle="1" w:styleId="Heading3Char">
    <w:name w:val="Heading 3 Char"/>
    <w:basedOn w:val="DefaultParagraphFont"/>
    <w:link w:val="Heading3"/>
    <w:uiPriority w:val="9"/>
    <w:semiHidden/>
    <w:rsid w:val="00717BC4"/>
    <w:rPr>
      <w:rFonts w:asciiTheme="majorHAnsi" w:eastAsiaTheme="majorEastAsia" w:hAnsiTheme="majorHAnsi" w:cstheme="majorBidi"/>
      <w:color w:val="1F3763" w:themeColor="accent1" w:themeShade="7F"/>
    </w:rPr>
  </w:style>
  <w:style w:type="character" w:customStyle="1" w:styleId="15">
    <w:name w:val="15"/>
    <w:basedOn w:val="DefaultParagraphFont"/>
    <w:rsid w:val="00D458E6"/>
    <w:rPr>
      <w:rFonts w:ascii="DengXian" w:eastAsia="DengXian" w:hAnsi="DengXian" w:hint="eastAsia"/>
      <w:b/>
      <w:bCs/>
    </w:rPr>
  </w:style>
  <w:style w:type="paragraph" w:styleId="Caption">
    <w:name w:val="caption"/>
    <w:basedOn w:val="Normal"/>
    <w:next w:val="Normal"/>
    <w:uiPriority w:val="35"/>
    <w:unhideWhenUsed/>
    <w:qFormat/>
    <w:rsid w:val="002B64E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68955">
      <w:bodyDiv w:val="1"/>
      <w:marLeft w:val="0"/>
      <w:marRight w:val="0"/>
      <w:marTop w:val="0"/>
      <w:marBottom w:val="0"/>
      <w:divBdr>
        <w:top w:val="none" w:sz="0" w:space="0" w:color="auto"/>
        <w:left w:val="none" w:sz="0" w:space="0" w:color="auto"/>
        <w:bottom w:val="none" w:sz="0" w:space="0" w:color="auto"/>
        <w:right w:val="none" w:sz="0" w:space="0" w:color="auto"/>
      </w:divBdr>
    </w:div>
    <w:div w:id="182015856">
      <w:bodyDiv w:val="1"/>
      <w:marLeft w:val="0"/>
      <w:marRight w:val="0"/>
      <w:marTop w:val="0"/>
      <w:marBottom w:val="0"/>
      <w:divBdr>
        <w:top w:val="none" w:sz="0" w:space="0" w:color="auto"/>
        <w:left w:val="none" w:sz="0" w:space="0" w:color="auto"/>
        <w:bottom w:val="none" w:sz="0" w:space="0" w:color="auto"/>
        <w:right w:val="none" w:sz="0" w:space="0" w:color="auto"/>
      </w:divBdr>
    </w:div>
    <w:div w:id="184488476">
      <w:bodyDiv w:val="1"/>
      <w:marLeft w:val="0"/>
      <w:marRight w:val="0"/>
      <w:marTop w:val="0"/>
      <w:marBottom w:val="0"/>
      <w:divBdr>
        <w:top w:val="none" w:sz="0" w:space="0" w:color="auto"/>
        <w:left w:val="none" w:sz="0" w:space="0" w:color="auto"/>
        <w:bottom w:val="none" w:sz="0" w:space="0" w:color="auto"/>
        <w:right w:val="none" w:sz="0" w:space="0" w:color="auto"/>
      </w:divBdr>
    </w:div>
    <w:div w:id="247156965">
      <w:bodyDiv w:val="1"/>
      <w:marLeft w:val="0"/>
      <w:marRight w:val="0"/>
      <w:marTop w:val="0"/>
      <w:marBottom w:val="0"/>
      <w:divBdr>
        <w:top w:val="none" w:sz="0" w:space="0" w:color="auto"/>
        <w:left w:val="none" w:sz="0" w:space="0" w:color="auto"/>
        <w:bottom w:val="none" w:sz="0" w:space="0" w:color="auto"/>
        <w:right w:val="none" w:sz="0" w:space="0" w:color="auto"/>
      </w:divBdr>
    </w:div>
    <w:div w:id="455148497">
      <w:bodyDiv w:val="1"/>
      <w:marLeft w:val="0"/>
      <w:marRight w:val="0"/>
      <w:marTop w:val="0"/>
      <w:marBottom w:val="0"/>
      <w:divBdr>
        <w:top w:val="none" w:sz="0" w:space="0" w:color="auto"/>
        <w:left w:val="none" w:sz="0" w:space="0" w:color="auto"/>
        <w:bottom w:val="none" w:sz="0" w:space="0" w:color="auto"/>
        <w:right w:val="none" w:sz="0" w:space="0" w:color="auto"/>
      </w:divBdr>
      <w:divsChild>
        <w:div w:id="2144080927">
          <w:marLeft w:val="0"/>
          <w:marRight w:val="0"/>
          <w:marTop w:val="0"/>
          <w:marBottom w:val="0"/>
          <w:divBdr>
            <w:top w:val="none" w:sz="0" w:space="0" w:color="auto"/>
            <w:left w:val="none" w:sz="0" w:space="0" w:color="auto"/>
            <w:bottom w:val="none" w:sz="0" w:space="0" w:color="auto"/>
            <w:right w:val="none" w:sz="0" w:space="0" w:color="auto"/>
          </w:divBdr>
          <w:divsChild>
            <w:div w:id="687370491">
              <w:marLeft w:val="0"/>
              <w:marRight w:val="0"/>
              <w:marTop w:val="0"/>
              <w:marBottom w:val="0"/>
              <w:divBdr>
                <w:top w:val="none" w:sz="0" w:space="0" w:color="auto"/>
                <w:left w:val="none" w:sz="0" w:space="0" w:color="auto"/>
                <w:bottom w:val="none" w:sz="0" w:space="0" w:color="auto"/>
                <w:right w:val="none" w:sz="0" w:space="0" w:color="auto"/>
              </w:divBdr>
              <w:divsChild>
                <w:div w:id="62542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9776">
          <w:marLeft w:val="0"/>
          <w:marRight w:val="0"/>
          <w:marTop w:val="0"/>
          <w:marBottom w:val="0"/>
          <w:divBdr>
            <w:top w:val="none" w:sz="0" w:space="0" w:color="auto"/>
            <w:left w:val="none" w:sz="0" w:space="0" w:color="auto"/>
            <w:bottom w:val="none" w:sz="0" w:space="0" w:color="auto"/>
            <w:right w:val="none" w:sz="0" w:space="0" w:color="auto"/>
          </w:divBdr>
          <w:divsChild>
            <w:div w:id="730470742">
              <w:marLeft w:val="0"/>
              <w:marRight w:val="0"/>
              <w:marTop w:val="0"/>
              <w:marBottom w:val="0"/>
              <w:divBdr>
                <w:top w:val="none" w:sz="0" w:space="0" w:color="auto"/>
                <w:left w:val="none" w:sz="0" w:space="0" w:color="auto"/>
                <w:bottom w:val="none" w:sz="0" w:space="0" w:color="auto"/>
                <w:right w:val="none" w:sz="0" w:space="0" w:color="auto"/>
              </w:divBdr>
              <w:divsChild>
                <w:div w:id="188325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189">
      <w:bodyDiv w:val="1"/>
      <w:marLeft w:val="0"/>
      <w:marRight w:val="0"/>
      <w:marTop w:val="0"/>
      <w:marBottom w:val="0"/>
      <w:divBdr>
        <w:top w:val="none" w:sz="0" w:space="0" w:color="auto"/>
        <w:left w:val="none" w:sz="0" w:space="0" w:color="auto"/>
        <w:bottom w:val="none" w:sz="0" w:space="0" w:color="auto"/>
        <w:right w:val="none" w:sz="0" w:space="0" w:color="auto"/>
      </w:divBdr>
    </w:div>
    <w:div w:id="877475104">
      <w:bodyDiv w:val="1"/>
      <w:marLeft w:val="0"/>
      <w:marRight w:val="0"/>
      <w:marTop w:val="0"/>
      <w:marBottom w:val="0"/>
      <w:divBdr>
        <w:top w:val="none" w:sz="0" w:space="0" w:color="auto"/>
        <w:left w:val="none" w:sz="0" w:space="0" w:color="auto"/>
        <w:bottom w:val="none" w:sz="0" w:space="0" w:color="auto"/>
        <w:right w:val="none" w:sz="0" w:space="0" w:color="auto"/>
      </w:divBdr>
    </w:div>
    <w:div w:id="1058741797">
      <w:bodyDiv w:val="1"/>
      <w:marLeft w:val="0"/>
      <w:marRight w:val="0"/>
      <w:marTop w:val="0"/>
      <w:marBottom w:val="0"/>
      <w:divBdr>
        <w:top w:val="none" w:sz="0" w:space="0" w:color="auto"/>
        <w:left w:val="none" w:sz="0" w:space="0" w:color="auto"/>
        <w:bottom w:val="none" w:sz="0" w:space="0" w:color="auto"/>
        <w:right w:val="none" w:sz="0" w:space="0" w:color="auto"/>
      </w:divBdr>
      <w:divsChild>
        <w:div w:id="1679192083">
          <w:marLeft w:val="0"/>
          <w:marRight w:val="0"/>
          <w:marTop w:val="0"/>
          <w:marBottom w:val="0"/>
          <w:divBdr>
            <w:top w:val="none" w:sz="0" w:space="0" w:color="auto"/>
            <w:left w:val="none" w:sz="0" w:space="0" w:color="auto"/>
            <w:bottom w:val="none" w:sz="0" w:space="0" w:color="auto"/>
            <w:right w:val="none" w:sz="0" w:space="0" w:color="auto"/>
          </w:divBdr>
          <w:divsChild>
            <w:div w:id="1145704562">
              <w:marLeft w:val="0"/>
              <w:marRight w:val="0"/>
              <w:marTop w:val="0"/>
              <w:marBottom w:val="0"/>
              <w:divBdr>
                <w:top w:val="none" w:sz="0" w:space="0" w:color="auto"/>
                <w:left w:val="none" w:sz="0" w:space="0" w:color="auto"/>
                <w:bottom w:val="none" w:sz="0" w:space="0" w:color="auto"/>
                <w:right w:val="none" w:sz="0" w:space="0" w:color="auto"/>
              </w:divBdr>
              <w:divsChild>
                <w:div w:id="164616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05464">
      <w:bodyDiv w:val="1"/>
      <w:marLeft w:val="0"/>
      <w:marRight w:val="0"/>
      <w:marTop w:val="0"/>
      <w:marBottom w:val="0"/>
      <w:divBdr>
        <w:top w:val="none" w:sz="0" w:space="0" w:color="auto"/>
        <w:left w:val="none" w:sz="0" w:space="0" w:color="auto"/>
        <w:bottom w:val="none" w:sz="0" w:space="0" w:color="auto"/>
        <w:right w:val="none" w:sz="0" w:space="0" w:color="auto"/>
      </w:divBdr>
    </w:div>
    <w:div w:id="1246955547">
      <w:bodyDiv w:val="1"/>
      <w:marLeft w:val="0"/>
      <w:marRight w:val="0"/>
      <w:marTop w:val="0"/>
      <w:marBottom w:val="0"/>
      <w:divBdr>
        <w:top w:val="none" w:sz="0" w:space="0" w:color="auto"/>
        <w:left w:val="none" w:sz="0" w:space="0" w:color="auto"/>
        <w:bottom w:val="none" w:sz="0" w:space="0" w:color="auto"/>
        <w:right w:val="none" w:sz="0" w:space="0" w:color="auto"/>
      </w:divBdr>
      <w:divsChild>
        <w:div w:id="715933786">
          <w:marLeft w:val="0"/>
          <w:marRight w:val="0"/>
          <w:marTop w:val="0"/>
          <w:marBottom w:val="0"/>
          <w:divBdr>
            <w:top w:val="none" w:sz="0" w:space="0" w:color="auto"/>
            <w:left w:val="none" w:sz="0" w:space="0" w:color="auto"/>
            <w:bottom w:val="none" w:sz="0" w:space="0" w:color="auto"/>
            <w:right w:val="none" w:sz="0" w:space="0" w:color="auto"/>
          </w:divBdr>
          <w:divsChild>
            <w:div w:id="39715441">
              <w:marLeft w:val="0"/>
              <w:marRight w:val="0"/>
              <w:marTop w:val="0"/>
              <w:marBottom w:val="0"/>
              <w:divBdr>
                <w:top w:val="none" w:sz="0" w:space="0" w:color="auto"/>
                <w:left w:val="none" w:sz="0" w:space="0" w:color="auto"/>
                <w:bottom w:val="none" w:sz="0" w:space="0" w:color="auto"/>
                <w:right w:val="none" w:sz="0" w:space="0" w:color="auto"/>
              </w:divBdr>
              <w:divsChild>
                <w:div w:id="100389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178397">
      <w:bodyDiv w:val="1"/>
      <w:marLeft w:val="0"/>
      <w:marRight w:val="0"/>
      <w:marTop w:val="0"/>
      <w:marBottom w:val="0"/>
      <w:divBdr>
        <w:top w:val="none" w:sz="0" w:space="0" w:color="auto"/>
        <w:left w:val="none" w:sz="0" w:space="0" w:color="auto"/>
        <w:bottom w:val="none" w:sz="0" w:space="0" w:color="auto"/>
        <w:right w:val="none" w:sz="0" w:space="0" w:color="auto"/>
      </w:divBdr>
    </w:div>
    <w:div w:id="1527013334">
      <w:bodyDiv w:val="1"/>
      <w:marLeft w:val="0"/>
      <w:marRight w:val="0"/>
      <w:marTop w:val="0"/>
      <w:marBottom w:val="0"/>
      <w:divBdr>
        <w:top w:val="none" w:sz="0" w:space="0" w:color="auto"/>
        <w:left w:val="none" w:sz="0" w:space="0" w:color="auto"/>
        <w:bottom w:val="none" w:sz="0" w:space="0" w:color="auto"/>
        <w:right w:val="none" w:sz="0" w:space="0" w:color="auto"/>
      </w:divBdr>
    </w:div>
    <w:div w:id="1619263640">
      <w:bodyDiv w:val="1"/>
      <w:marLeft w:val="0"/>
      <w:marRight w:val="0"/>
      <w:marTop w:val="0"/>
      <w:marBottom w:val="0"/>
      <w:divBdr>
        <w:top w:val="none" w:sz="0" w:space="0" w:color="auto"/>
        <w:left w:val="none" w:sz="0" w:space="0" w:color="auto"/>
        <w:bottom w:val="none" w:sz="0" w:space="0" w:color="auto"/>
        <w:right w:val="none" w:sz="0" w:space="0" w:color="auto"/>
      </w:divBdr>
    </w:div>
    <w:div w:id="1803691075">
      <w:bodyDiv w:val="1"/>
      <w:marLeft w:val="0"/>
      <w:marRight w:val="0"/>
      <w:marTop w:val="0"/>
      <w:marBottom w:val="0"/>
      <w:divBdr>
        <w:top w:val="none" w:sz="0" w:space="0" w:color="auto"/>
        <w:left w:val="none" w:sz="0" w:space="0" w:color="auto"/>
        <w:bottom w:val="none" w:sz="0" w:space="0" w:color="auto"/>
        <w:right w:val="none" w:sz="0" w:space="0" w:color="auto"/>
      </w:divBdr>
    </w:div>
    <w:div w:id="1993562640">
      <w:bodyDiv w:val="1"/>
      <w:marLeft w:val="0"/>
      <w:marRight w:val="0"/>
      <w:marTop w:val="0"/>
      <w:marBottom w:val="0"/>
      <w:divBdr>
        <w:top w:val="none" w:sz="0" w:space="0" w:color="auto"/>
        <w:left w:val="none" w:sz="0" w:space="0" w:color="auto"/>
        <w:bottom w:val="none" w:sz="0" w:space="0" w:color="auto"/>
        <w:right w:val="none" w:sz="0" w:space="0" w:color="auto"/>
      </w:divBdr>
      <w:divsChild>
        <w:div w:id="1743985422">
          <w:marLeft w:val="0"/>
          <w:marRight w:val="0"/>
          <w:marTop w:val="0"/>
          <w:marBottom w:val="0"/>
          <w:divBdr>
            <w:top w:val="none" w:sz="0" w:space="0" w:color="auto"/>
            <w:left w:val="none" w:sz="0" w:space="0" w:color="auto"/>
            <w:bottom w:val="none" w:sz="0" w:space="0" w:color="auto"/>
            <w:right w:val="none" w:sz="0" w:space="0" w:color="auto"/>
          </w:divBdr>
          <w:divsChild>
            <w:div w:id="1499156555">
              <w:marLeft w:val="0"/>
              <w:marRight w:val="0"/>
              <w:marTop w:val="0"/>
              <w:marBottom w:val="0"/>
              <w:divBdr>
                <w:top w:val="none" w:sz="0" w:space="0" w:color="auto"/>
                <w:left w:val="none" w:sz="0" w:space="0" w:color="auto"/>
                <w:bottom w:val="none" w:sz="0" w:space="0" w:color="auto"/>
                <w:right w:val="none" w:sz="0" w:space="0" w:color="auto"/>
              </w:divBdr>
              <w:divsChild>
                <w:div w:id="96719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eativecommons.org/licenses/by-sa/4.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radiosurgery.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creativecommons.org/licenses/by-sa/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EB239-20F7-244C-8A3D-DDDEFD02C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6</Pages>
  <Words>3435</Words>
  <Characters>19583</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Sonyek Anugraha</dc:creator>
  <cp:lastModifiedBy>Microsoft Office User</cp:lastModifiedBy>
  <cp:revision>6</cp:revision>
  <cp:lastPrinted>2023-02-06T08:15:00Z</cp:lastPrinted>
  <dcterms:created xsi:type="dcterms:W3CDTF">2026-05-06T05:44:00Z</dcterms:created>
  <dcterms:modified xsi:type="dcterms:W3CDTF">2026-05-06T16:46:00Z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295219325</vt:i4>
  </property>
</Properties>
</file>